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6436" w14:textId="3430A840" w:rsidR="00986A46" w:rsidRPr="00AD537C" w:rsidRDefault="00283109" w:rsidP="008F2068">
      <w:pPr>
        <w:pStyle w:val="Factsheettitle"/>
        <w:spacing w:before="1440" w:after="360"/>
      </w:pPr>
      <w:r w:rsidRPr="00AD537C">
        <w:t>Foreign Investment</w:t>
      </w:r>
      <w:r w:rsidR="00D551B0" w:rsidRPr="00AD537C">
        <w:t xml:space="preserve"> </w:t>
      </w:r>
      <w:r w:rsidR="00F71083" w:rsidRPr="00AD537C">
        <w:br/>
      </w:r>
      <w:r w:rsidR="00D551B0" w:rsidRPr="00AD537C">
        <w:t>Application Checklist</w:t>
      </w:r>
    </w:p>
    <w:p w14:paraId="059EAE1C" w14:textId="4C9FB31A" w:rsidR="006560AA" w:rsidRPr="00AD537C" w:rsidRDefault="006560AA" w:rsidP="006560AA">
      <w:pPr>
        <w:pStyle w:val="Heading1"/>
      </w:pPr>
      <w:r w:rsidRPr="00AD537C">
        <w:t>Appendix – Tax Checklist</w:t>
      </w:r>
    </w:p>
    <w:p w14:paraId="25A6C370" w14:textId="7635B793" w:rsidR="0035163A" w:rsidRPr="00AD537C" w:rsidRDefault="4C899E25" w:rsidP="00F85662">
      <w:pPr>
        <w:pStyle w:val="Bullet"/>
      </w:pPr>
      <w:r w:rsidRPr="00AD537C">
        <w:t xml:space="preserve">This </w:t>
      </w:r>
      <w:r w:rsidR="36E7C0F7" w:rsidRPr="00AD537C">
        <w:t xml:space="preserve">Tax Checklist outlines information </w:t>
      </w:r>
      <w:r w:rsidR="3F3EBA37" w:rsidRPr="00AD537C">
        <w:t>required by the Australian Taxation Office (</w:t>
      </w:r>
      <w:r w:rsidR="3F3EBA37" w:rsidRPr="00A643F1">
        <w:rPr>
          <w:b/>
          <w:bCs/>
        </w:rPr>
        <w:t>ATO</w:t>
      </w:r>
      <w:r w:rsidR="3F3EBA37" w:rsidRPr="00AD537C">
        <w:t xml:space="preserve">) </w:t>
      </w:r>
      <w:r w:rsidR="6AE95D15" w:rsidRPr="00AD537C">
        <w:t xml:space="preserve">during the review of foreign investment </w:t>
      </w:r>
      <w:r w:rsidR="005819C4" w:rsidRPr="00AD537C">
        <w:t>proposals</w:t>
      </w:r>
      <w:r w:rsidR="6AE95D15" w:rsidRPr="00AD537C">
        <w:t xml:space="preserve">. </w:t>
      </w:r>
      <w:r w:rsidR="67E89F99" w:rsidRPr="00AD537C">
        <w:t xml:space="preserve">Applicants </w:t>
      </w:r>
      <w:r w:rsidR="6E623804" w:rsidRPr="00AD537C">
        <w:t xml:space="preserve">should </w:t>
      </w:r>
      <w:r w:rsidR="67E89F99" w:rsidRPr="00AD537C">
        <w:t>ensure t</w:t>
      </w:r>
      <w:r w:rsidR="0035163A" w:rsidRPr="00AD537C">
        <w:t xml:space="preserve">he following tax information </w:t>
      </w:r>
      <w:r w:rsidR="7B6103C7" w:rsidRPr="00AD537C">
        <w:t xml:space="preserve">is </w:t>
      </w:r>
      <w:r w:rsidR="5639AA63" w:rsidRPr="00AD537C">
        <w:t>included in the</w:t>
      </w:r>
      <w:r w:rsidR="7F327007" w:rsidRPr="00AD537C">
        <w:t>ir</w:t>
      </w:r>
      <w:r w:rsidR="5639AA63" w:rsidRPr="00AD537C">
        <w:t xml:space="preserve"> </w:t>
      </w:r>
      <w:r w:rsidR="005819C4" w:rsidRPr="00AD537C">
        <w:t>foreign investment notifications to Treasury</w:t>
      </w:r>
      <w:r w:rsidR="5639AA63" w:rsidRPr="00AD537C">
        <w:t xml:space="preserve">. </w:t>
      </w:r>
      <w:r w:rsidR="005819C4" w:rsidRPr="00AD537C">
        <w:t>This allows for a quicker assessment of the tax risks.</w:t>
      </w:r>
    </w:p>
    <w:p w14:paraId="21EAB3BF" w14:textId="77777777" w:rsidR="009C7F95" w:rsidRPr="00AD537C" w:rsidRDefault="009C7F95" w:rsidP="009C7F95">
      <w:pPr>
        <w:pStyle w:val="Heading3"/>
      </w:pPr>
      <w:r w:rsidRPr="00AD537C">
        <w:t>If the applicant is unable to provide sufficient information</w:t>
      </w:r>
    </w:p>
    <w:p w14:paraId="6F1DE45E" w14:textId="516952D2" w:rsidR="009C7F95" w:rsidRPr="00AD537C" w:rsidRDefault="5F8CCF68" w:rsidP="009C7F95">
      <w:r w:rsidRPr="00AD537C">
        <w:t xml:space="preserve">The ATO requires that all relevant information specified in the Foreign Investment Application Checklist and Tax Checklist be provided. </w:t>
      </w:r>
    </w:p>
    <w:p w14:paraId="3B1CC1D6" w14:textId="7FAE35B7" w:rsidR="009C7F95" w:rsidRPr="00AD537C" w:rsidRDefault="19DE4027" w:rsidP="009C7F95">
      <w:r w:rsidRPr="00AD537C">
        <w:t>Where information is not provided as part of the initial application, it will routinely be requested through a request for information which will contribute to an extended review time for the application</w:t>
      </w:r>
      <w:r w:rsidR="2E6DF43E" w:rsidRPr="00AD537C">
        <w:t xml:space="preserve">. </w:t>
      </w:r>
      <w:r w:rsidR="00C02B1C" w:rsidRPr="00AD537C">
        <w:t xml:space="preserve">In some cases, the ATO may require further additional information (not specified in </w:t>
      </w:r>
      <w:r w:rsidR="005D16EF">
        <w:t>either</w:t>
      </w:r>
      <w:r w:rsidR="005D16EF" w:rsidRPr="00AD537C">
        <w:t xml:space="preserve"> </w:t>
      </w:r>
      <w:r w:rsidR="00C02B1C" w:rsidRPr="00AD537C">
        <w:t>Checklist)</w:t>
      </w:r>
      <w:r w:rsidR="00156ACB" w:rsidRPr="00AD537C">
        <w:t xml:space="preserve"> to better understand the proposed transaction and the potential tax risk.</w:t>
      </w:r>
    </w:p>
    <w:p w14:paraId="64A2BB34" w14:textId="543295DD" w:rsidR="0076609B" w:rsidRPr="00AD537C" w:rsidRDefault="0076609B" w:rsidP="0076609B">
      <w:r w:rsidRPr="00AD537C">
        <w:t>If information is not available at the time of providing a response, but is expected to become available later</w:t>
      </w:r>
      <w:r w:rsidR="00424BCA" w:rsidRPr="00AD537C">
        <w:t>, provide</w:t>
      </w:r>
      <w:r w:rsidRPr="00AD537C">
        <w:t>:</w:t>
      </w:r>
    </w:p>
    <w:p w14:paraId="51F499F3" w14:textId="594F9BA0" w:rsidR="0076609B" w:rsidRPr="00AD537C" w:rsidRDefault="0076609B" w:rsidP="004A27CB">
      <w:pPr>
        <w:pStyle w:val="Bullet"/>
        <w:numPr>
          <w:ilvl w:val="0"/>
          <w:numId w:val="11"/>
        </w:numPr>
      </w:pPr>
      <w:r w:rsidRPr="00AD537C">
        <w:t xml:space="preserve">a timeframe within which the information will (or </w:t>
      </w:r>
      <w:r w:rsidR="00424BCA" w:rsidRPr="00AD537C">
        <w:t xml:space="preserve">is </w:t>
      </w:r>
      <w:r w:rsidRPr="00AD537C">
        <w:t>expected to) become available</w:t>
      </w:r>
      <w:r w:rsidR="00C607BE">
        <w:t>,</w:t>
      </w:r>
      <w:r w:rsidRPr="00AD537C">
        <w:t xml:space="preserve"> and</w:t>
      </w:r>
    </w:p>
    <w:p w14:paraId="530D7935" w14:textId="54DDADAD" w:rsidR="0076609B" w:rsidRPr="00AD537C" w:rsidRDefault="0076609B" w:rsidP="004A27CB">
      <w:pPr>
        <w:pStyle w:val="Bullet"/>
        <w:numPr>
          <w:ilvl w:val="0"/>
          <w:numId w:val="11"/>
        </w:numPr>
      </w:pPr>
      <w:r w:rsidRPr="00AD537C">
        <w:t xml:space="preserve">the information when it becomes available. </w:t>
      </w:r>
    </w:p>
    <w:p w14:paraId="43FE7463" w14:textId="5E122390" w:rsidR="009C7F95" w:rsidRPr="00AD537C" w:rsidRDefault="2E6DF43E" w:rsidP="009C7F95">
      <w:bookmarkStart w:id="0" w:name="_Hlk162342991"/>
      <w:r w:rsidRPr="00AD537C">
        <w:t xml:space="preserve">If information is requested through a request for information and is unable to be supplied, the </w:t>
      </w:r>
      <w:r w:rsidR="41972D62" w:rsidRPr="00AD537C">
        <w:t xml:space="preserve">ATO may recommend that the </w:t>
      </w:r>
      <w:r w:rsidR="2CA950FE" w:rsidRPr="00AD537C">
        <w:t>decision</w:t>
      </w:r>
      <w:r w:rsidRPr="00AD537C">
        <w:t xml:space="preserve">-maker impose </w:t>
      </w:r>
      <w:proofErr w:type="gramStart"/>
      <w:r w:rsidR="004E0694">
        <w:t>particular</w:t>
      </w:r>
      <w:r w:rsidR="19DE4027" w:rsidRPr="00AD537C">
        <w:t xml:space="preserve"> tax</w:t>
      </w:r>
      <w:proofErr w:type="gramEnd"/>
      <w:r w:rsidR="19DE4027" w:rsidRPr="00AD537C">
        <w:t xml:space="preserve"> conditions</w:t>
      </w:r>
      <w:r w:rsidR="4B7183EA" w:rsidRPr="00AD537C">
        <w:t xml:space="preserve"> requiring the applicant to provide the information </w:t>
      </w:r>
      <w:r w:rsidR="11DCA60C" w:rsidRPr="00AD537C">
        <w:t>later</w:t>
      </w:r>
      <w:r w:rsidR="08565C82" w:rsidRPr="00AD537C">
        <w:t>.</w:t>
      </w:r>
      <w:r w:rsidR="4B7183EA" w:rsidRPr="00AD537C">
        <w:t xml:space="preserve"> </w:t>
      </w:r>
    </w:p>
    <w:bookmarkEnd w:id="0"/>
    <w:p w14:paraId="138BEECD" w14:textId="77777777" w:rsidR="00274FA5" w:rsidRDefault="00274FA5">
      <w:pPr>
        <w:spacing w:before="0" w:after="0"/>
        <w:rPr>
          <w:rFonts w:ascii="Calibri" w:hAnsi="Calibri" w:cs="Arial"/>
          <w:b/>
          <w:color w:val="4D7861" w:themeColor="accent2"/>
          <w:kern w:val="32"/>
          <w:sz w:val="28"/>
          <w:szCs w:val="26"/>
        </w:rPr>
      </w:pPr>
      <w:r>
        <w:br w:type="page"/>
      </w:r>
    </w:p>
    <w:p w14:paraId="5CA42F93" w14:textId="398A8E90" w:rsidR="0052134C" w:rsidRPr="00AD537C" w:rsidRDefault="0052134C" w:rsidP="0052134C">
      <w:pPr>
        <w:pStyle w:val="Heading3"/>
      </w:pPr>
      <w:r w:rsidRPr="00AD537C">
        <w:lastRenderedPageBreak/>
        <w:t xml:space="preserve">Tax character </w:t>
      </w:r>
    </w:p>
    <w:p w14:paraId="0057278E" w14:textId="5DA9BBCE" w:rsidR="13115462" w:rsidRPr="00AD537C" w:rsidRDefault="13115462" w:rsidP="004A27CB">
      <w:pPr>
        <w:pStyle w:val="ListParagraph"/>
        <w:numPr>
          <w:ilvl w:val="0"/>
          <w:numId w:val="1"/>
        </w:numPr>
      </w:pPr>
      <w:r w:rsidRPr="00AD537C">
        <w:t xml:space="preserve">For </w:t>
      </w:r>
      <w:r w:rsidRPr="00AD537C">
        <w:rPr>
          <w:rStyle w:val="Strong"/>
        </w:rPr>
        <w:t>each entity</w:t>
      </w:r>
      <w:r w:rsidRPr="00AD537C">
        <w:t xml:space="preserve"> in the post-</w:t>
      </w:r>
      <w:r w:rsidR="002F5D4C" w:rsidRPr="00AD537C">
        <w:t>transaction</w:t>
      </w:r>
      <w:r w:rsidRPr="00AD537C">
        <w:t xml:space="preserve"> structure diagram, </w:t>
      </w:r>
      <w:r w:rsidR="002F5D4C" w:rsidRPr="00AD537C">
        <w:t xml:space="preserve">provide the following details </w:t>
      </w:r>
      <w:r w:rsidR="00A30953" w:rsidRPr="00AD537C">
        <w:t>using the table format below</w:t>
      </w:r>
      <w:r w:rsidRPr="00AD537C">
        <w:t>:</w:t>
      </w:r>
    </w:p>
    <w:tbl>
      <w:tblPr>
        <w:tblStyle w:val="TableGrid"/>
        <w:tblW w:w="0" w:type="auto"/>
        <w:tblInd w:w="421" w:type="dxa"/>
        <w:tblLook w:val="04A0" w:firstRow="1" w:lastRow="0" w:firstColumn="1" w:lastColumn="0" w:noHBand="0" w:noVBand="1"/>
      </w:tblPr>
      <w:tblGrid>
        <w:gridCol w:w="6945"/>
        <w:gridCol w:w="1128"/>
      </w:tblGrid>
      <w:tr w:rsidR="00F5406B" w:rsidRPr="00AD537C" w14:paraId="69432278" w14:textId="77777777" w:rsidTr="00E82282">
        <w:tc>
          <w:tcPr>
            <w:tcW w:w="6945" w:type="dxa"/>
            <w:shd w:val="clear" w:color="auto" w:fill="000000" w:themeFill="text1"/>
          </w:tcPr>
          <w:p w14:paraId="2EBAF645" w14:textId="2014578A" w:rsidR="002F5D4C" w:rsidRPr="00AD537C" w:rsidRDefault="002F5D4C" w:rsidP="002F5D4C">
            <w:pPr>
              <w:rPr>
                <w:b/>
                <w:bCs/>
              </w:rPr>
            </w:pPr>
          </w:p>
        </w:tc>
        <w:tc>
          <w:tcPr>
            <w:tcW w:w="1128" w:type="dxa"/>
            <w:shd w:val="clear" w:color="auto" w:fill="000000" w:themeFill="text1"/>
          </w:tcPr>
          <w:p w14:paraId="1EF1EF7C" w14:textId="31150C50" w:rsidR="002F5D4C" w:rsidRPr="00AD537C" w:rsidRDefault="002F5D4C" w:rsidP="002F5D4C">
            <w:pPr>
              <w:rPr>
                <w:b/>
                <w:bCs/>
              </w:rPr>
            </w:pPr>
            <w:r w:rsidRPr="00AD537C">
              <w:rPr>
                <w:b/>
                <w:bCs/>
              </w:rPr>
              <w:t>&lt;Entity name&gt;</w:t>
            </w:r>
          </w:p>
        </w:tc>
      </w:tr>
      <w:tr w:rsidR="00F5406B" w:rsidRPr="00AD537C" w14:paraId="0D292B61" w14:textId="77777777" w:rsidTr="00E82282">
        <w:tc>
          <w:tcPr>
            <w:tcW w:w="6945" w:type="dxa"/>
          </w:tcPr>
          <w:p w14:paraId="6BEF3470" w14:textId="52A9CC4C" w:rsidR="002F5D4C" w:rsidRPr="00AD537C" w:rsidRDefault="002F5D4C" w:rsidP="00A30953">
            <w:pPr>
              <w:ind w:left="360"/>
            </w:pPr>
            <w:r w:rsidRPr="00AD537C">
              <w:t>Full legal name of the entity</w:t>
            </w:r>
          </w:p>
        </w:tc>
        <w:tc>
          <w:tcPr>
            <w:tcW w:w="1128" w:type="dxa"/>
          </w:tcPr>
          <w:p w14:paraId="03B1F7AC" w14:textId="77777777" w:rsidR="002F5D4C" w:rsidRPr="00AD537C" w:rsidRDefault="002F5D4C" w:rsidP="002F5D4C"/>
        </w:tc>
      </w:tr>
      <w:tr w:rsidR="00F5406B" w:rsidRPr="00AD537C" w14:paraId="40CC684E" w14:textId="77777777" w:rsidTr="00E82282">
        <w:tc>
          <w:tcPr>
            <w:tcW w:w="6945" w:type="dxa"/>
          </w:tcPr>
          <w:p w14:paraId="00F945CA" w14:textId="77777777" w:rsidR="002F5D4C" w:rsidRPr="00AD537C" w:rsidRDefault="002F5D4C" w:rsidP="00A30953">
            <w:pPr>
              <w:ind w:left="360"/>
            </w:pPr>
            <w:r w:rsidRPr="00AD537C">
              <w:t>Country/Seat of Incorporation</w:t>
            </w:r>
          </w:p>
        </w:tc>
        <w:tc>
          <w:tcPr>
            <w:tcW w:w="1128" w:type="dxa"/>
          </w:tcPr>
          <w:p w14:paraId="51444166" w14:textId="77777777" w:rsidR="002F5D4C" w:rsidRPr="00AD537C" w:rsidRDefault="002F5D4C" w:rsidP="002F5D4C"/>
        </w:tc>
      </w:tr>
      <w:tr w:rsidR="00F5406B" w:rsidRPr="00AD537C" w14:paraId="20FFDA6C" w14:textId="77777777" w:rsidTr="00E82282">
        <w:tc>
          <w:tcPr>
            <w:tcW w:w="6945" w:type="dxa"/>
          </w:tcPr>
          <w:p w14:paraId="20593913" w14:textId="3E3AA12F" w:rsidR="002F5D4C" w:rsidRPr="00AD537C" w:rsidRDefault="002F5D4C" w:rsidP="00A30953">
            <w:pPr>
              <w:ind w:left="360"/>
            </w:pPr>
            <w:r w:rsidRPr="00AD537C">
              <w:t>Tax residence</w:t>
            </w:r>
            <w:r w:rsidR="001779D9" w:rsidRPr="00AD537C">
              <w:t xml:space="preserve"> </w:t>
            </w:r>
          </w:p>
        </w:tc>
        <w:tc>
          <w:tcPr>
            <w:tcW w:w="1128" w:type="dxa"/>
          </w:tcPr>
          <w:p w14:paraId="1CD10797" w14:textId="77777777" w:rsidR="002F5D4C" w:rsidRPr="00AD537C" w:rsidRDefault="002F5D4C" w:rsidP="002F5D4C"/>
        </w:tc>
      </w:tr>
      <w:tr w:rsidR="00F5406B" w:rsidRPr="00AD537C" w14:paraId="0BE6F505" w14:textId="77777777" w:rsidTr="00E82282">
        <w:tc>
          <w:tcPr>
            <w:tcW w:w="6945" w:type="dxa"/>
          </w:tcPr>
          <w:p w14:paraId="6B52FC45" w14:textId="77777777" w:rsidR="00A30953" w:rsidRPr="00AD537C" w:rsidRDefault="002F5D4C" w:rsidP="00A30953">
            <w:pPr>
              <w:ind w:left="360"/>
            </w:pPr>
            <w:r w:rsidRPr="00AD537C">
              <w:t xml:space="preserve">Australian tax character e.g. </w:t>
            </w:r>
          </w:p>
          <w:p w14:paraId="6A7C2F80" w14:textId="77777777" w:rsidR="00A30953" w:rsidRPr="00AD537C" w:rsidRDefault="002F5D4C" w:rsidP="004A27CB">
            <w:pPr>
              <w:pStyle w:val="ListParagraph"/>
              <w:numPr>
                <w:ilvl w:val="0"/>
                <w:numId w:val="10"/>
              </w:numPr>
            </w:pPr>
            <w:r w:rsidRPr="00AD537C">
              <w:t>Head entity of a tax consolidated group</w:t>
            </w:r>
          </w:p>
          <w:p w14:paraId="0DC33114" w14:textId="77777777" w:rsidR="00A30953" w:rsidRPr="00AD537C" w:rsidRDefault="00A30953" w:rsidP="004A27CB">
            <w:pPr>
              <w:pStyle w:val="ListParagraph"/>
              <w:numPr>
                <w:ilvl w:val="0"/>
                <w:numId w:val="10"/>
              </w:numPr>
            </w:pPr>
            <w:r w:rsidRPr="00AD537C">
              <w:t>M</w:t>
            </w:r>
            <w:r w:rsidR="002F5D4C" w:rsidRPr="00AD537C">
              <w:t>ember of a tax consolidated group</w:t>
            </w:r>
          </w:p>
          <w:p w14:paraId="02A83E70" w14:textId="77777777" w:rsidR="00A30953" w:rsidRPr="00AD537C" w:rsidRDefault="00A30953" w:rsidP="004A27CB">
            <w:pPr>
              <w:pStyle w:val="ListParagraph"/>
              <w:numPr>
                <w:ilvl w:val="0"/>
                <w:numId w:val="10"/>
              </w:numPr>
            </w:pPr>
            <w:r w:rsidRPr="00AD537C">
              <w:t>F</w:t>
            </w:r>
            <w:r w:rsidR="002F5D4C" w:rsidRPr="00AD537C">
              <w:t>low-through trust</w:t>
            </w:r>
          </w:p>
          <w:p w14:paraId="07BD449F" w14:textId="77777777" w:rsidR="00A30953" w:rsidRPr="00AD537C" w:rsidRDefault="00A30953" w:rsidP="004A27CB">
            <w:pPr>
              <w:pStyle w:val="ListParagraph"/>
              <w:numPr>
                <w:ilvl w:val="0"/>
                <w:numId w:val="10"/>
              </w:numPr>
            </w:pPr>
            <w:r w:rsidRPr="00AD537C">
              <w:t>P</w:t>
            </w:r>
            <w:r w:rsidR="002F5D4C" w:rsidRPr="00AD537C">
              <w:t>ublic trading trust</w:t>
            </w:r>
          </w:p>
          <w:p w14:paraId="2BA3F9C9" w14:textId="77777777" w:rsidR="00A30953" w:rsidRPr="00AD537C" w:rsidRDefault="00A30953" w:rsidP="004A27CB">
            <w:pPr>
              <w:pStyle w:val="ListParagraph"/>
              <w:numPr>
                <w:ilvl w:val="0"/>
                <w:numId w:val="10"/>
              </w:numPr>
            </w:pPr>
            <w:r w:rsidRPr="00AD537C">
              <w:t>M</w:t>
            </w:r>
            <w:r w:rsidR="002F5D4C" w:rsidRPr="00AD537C">
              <w:t>anaged investment trust</w:t>
            </w:r>
          </w:p>
          <w:p w14:paraId="14E08A3B" w14:textId="77777777" w:rsidR="00A30953" w:rsidRPr="00AD537C" w:rsidRDefault="00A30953" w:rsidP="004A27CB">
            <w:pPr>
              <w:pStyle w:val="ListParagraph"/>
              <w:numPr>
                <w:ilvl w:val="0"/>
                <w:numId w:val="10"/>
              </w:numPr>
            </w:pPr>
            <w:r w:rsidRPr="00AD537C">
              <w:t>C</w:t>
            </w:r>
            <w:r w:rsidR="002F5D4C" w:rsidRPr="00AD537C">
              <w:t>omplying superannuation fund</w:t>
            </w:r>
          </w:p>
          <w:p w14:paraId="74F1327C" w14:textId="71B237CD" w:rsidR="00A30953" w:rsidRPr="00AD537C" w:rsidRDefault="00A30953" w:rsidP="004A27CB">
            <w:pPr>
              <w:pStyle w:val="ListParagraph"/>
              <w:numPr>
                <w:ilvl w:val="0"/>
                <w:numId w:val="10"/>
              </w:numPr>
            </w:pPr>
            <w:r w:rsidRPr="00AD537C">
              <w:t>F</w:t>
            </w:r>
            <w:r w:rsidR="002F5D4C" w:rsidRPr="00AD537C">
              <w:t xml:space="preserve">oreign pension fund that is withholding tax exempt under </w:t>
            </w:r>
            <w:r w:rsidR="00FB6D16">
              <w:t>sub</w:t>
            </w:r>
            <w:r w:rsidR="002F5D4C" w:rsidRPr="00AD537C">
              <w:t>section 128</w:t>
            </w:r>
            <w:proofErr w:type="gramStart"/>
            <w:r w:rsidR="002F5D4C" w:rsidRPr="00AD537C">
              <w:t>B(</w:t>
            </w:r>
            <w:proofErr w:type="gramEnd"/>
            <w:r w:rsidR="002F5D4C" w:rsidRPr="00AD537C">
              <w:t xml:space="preserve">3) of the </w:t>
            </w:r>
            <w:r w:rsidR="002F5D4C" w:rsidRPr="00AD537C">
              <w:rPr>
                <w:i/>
                <w:iCs/>
              </w:rPr>
              <w:t>Income Tax Assessment Act 1936</w:t>
            </w:r>
            <w:r w:rsidR="00B93EFD">
              <w:t xml:space="preserve"> (</w:t>
            </w:r>
            <w:proofErr w:type="spellStart"/>
            <w:r w:rsidR="00B93EFD">
              <w:t>Cth</w:t>
            </w:r>
            <w:proofErr w:type="spellEnd"/>
            <w:r w:rsidR="00B93EFD">
              <w:t>)</w:t>
            </w:r>
            <w:r w:rsidR="00F14C1B">
              <w:t xml:space="preserve"> (</w:t>
            </w:r>
            <w:r w:rsidR="00F14C1B" w:rsidRPr="00F14C1B">
              <w:rPr>
                <w:b/>
                <w:bCs/>
              </w:rPr>
              <w:t>ITAA 1936</w:t>
            </w:r>
            <w:r w:rsidR="00F14C1B">
              <w:t>)</w:t>
            </w:r>
          </w:p>
          <w:p w14:paraId="0AA0786E" w14:textId="709DD63F" w:rsidR="002F5D4C" w:rsidRPr="00AD537C" w:rsidRDefault="00A30953" w:rsidP="004A27CB">
            <w:pPr>
              <w:pStyle w:val="ListParagraph"/>
              <w:numPr>
                <w:ilvl w:val="0"/>
                <w:numId w:val="10"/>
              </w:numPr>
            </w:pPr>
            <w:r w:rsidRPr="00AD537C">
              <w:t>N</w:t>
            </w:r>
            <w:r w:rsidR="002F5D4C" w:rsidRPr="00AD537C">
              <w:t xml:space="preserve">on-resident beneficiary that is assessed under section 98A of the </w:t>
            </w:r>
            <w:r w:rsidR="00F14C1B">
              <w:t>ITAA 1936</w:t>
            </w:r>
          </w:p>
        </w:tc>
        <w:tc>
          <w:tcPr>
            <w:tcW w:w="1128" w:type="dxa"/>
          </w:tcPr>
          <w:p w14:paraId="2170D97B" w14:textId="77777777" w:rsidR="002F5D4C" w:rsidRPr="00AD537C" w:rsidRDefault="002F5D4C" w:rsidP="002F5D4C"/>
        </w:tc>
      </w:tr>
      <w:tr w:rsidR="00F5406B" w:rsidRPr="00AD537C" w14:paraId="5C9FE959" w14:textId="77777777" w:rsidTr="00E82282">
        <w:tc>
          <w:tcPr>
            <w:tcW w:w="6945" w:type="dxa"/>
          </w:tcPr>
          <w:p w14:paraId="7EB4AB59" w14:textId="62FD95E7" w:rsidR="002F5D4C" w:rsidRPr="00AD537C" w:rsidRDefault="002F5D4C" w:rsidP="00A30953">
            <w:pPr>
              <w:ind w:left="360"/>
            </w:pPr>
            <w:r w:rsidRPr="00AD537C">
              <w:t xml:space="preserve">Tax character of foreign entities in their jurisdiction of residence and incorporation. If the entity is not subject to tax on certain income or gains in its residence jurisdiction, please provide details. </w:t>
            </w:r>
          </w:p>
        </w:tc>
        <w:tc>
          <w:tcPr>
            <w:tcW w:w="1128" w:type="dxa"/>
          </w:tcPr>
          <w:p w14:paraId="741E8318" w14:textId="77777777" w:rsidR="002F5D4C" w:rsidRPr="00AD537C" w:rsidRDefault="002F5D4C" w:rsidP="002F5D4C"/>
        </w:tc>
      </w:tr>
      <w:tr w:rsidR="00F5406B" w:rsidRPr="00AD537C" w14:paraId="372A446B" w14:textId="77777777" w:rsidTr="00E82282">
        <w:tc>
          <w:tcPr>
            <w:tcW w:w="6945" w:type="dxa"/>
          </w:tcPr>
          <w:p w14:paraId="7EFBDDB2" w14:textId="442D0BF1" w:rsidR="002F5D4C" w:rsidRPr="00AD537C" w:rsidRDefault="002F5D4C" w:rsidP="00A30953">
            <w:pPr>
              <w:ind w:left="360"/>
            </w:pPr>
            <w:r w:rsidRPr="00AD537C">
              <w:t xml:space="preserve">The key role of the entity (e.g. holding entity, finance entity, </w:t>
            </w:r>
            <w:r w:rsidR="00D00657">
              <w:t>s</w:t>
            </w:r>
            <w:r w:rsidRPr="00AD537C">
              <w:t xml:space="preserve">pecial </w:t>
            </w:r>
            <w:r w:rsidR="00D00657">
              <w:t>p</w:t>
            </w:r>
            <w:r w:rsidRPr="00AD537C">
              <w:t xml:space="preserve">urpose </w:t>
            </w:r>
            <w:r w:rsidR="00D00657">
              <w:t>v</w:t>
            </w:r>
            <w:r w:rsidR="500D21D5" w:rsidRPr="00AD537C">
              <w:t>ehicle</w:t>
            </w:r>
            <w:r w:rsidRPr="00AD537C">
              <w:t>, operating entity)</w:t>
            </w:r>
          </w:p>
        </w:tc>
        <w:tc>
          <w:tcPr>
            <w:tcW w:w="1128" w:type="dxa"/>
          </w:tcPr>
          <w:p w14:paraId="1F74E5D6" w14:textId="77777777" w:rsidR="002F5D4C" w:rsidRPr="00AD537C" w:rsidRDefault="002F5D4C" w:rsidP="002F5D4C"/>
        </w:tc>
      </w:tr>
      <w:tr w:rsidR="00F5406B" w:rsidRPr="00AD537C" w14:paraId="70FA500D" w14:textId="77777777" w:rsidTr="00E82282">
        <w:tc>
          <w:tcPr>
            <w:tcW w:w="6945" w:type="dxa"/>
          </w:tcPr>
          <w:p w14:paraId="79216226" w14:textId="38AC4703" w:rsidR="002F5D4C" w:rsidRPr="00AD537C" w:rsidRDefault="002F5D4C" w:rsidP="00A30953">
            <w:pPr>
              <w:ind w:left="360"/>
            </w:pPr>
            <w:r w:rsidRPr="00AD537C">
              <w:t xml:space="preserve">A description of their income producing assets </w:t>
            </w:r>
          </w:p>
        </w:tc>
        <w:tc>
          <w:tcPr>
            <w:tcW w:w="1128" w:type="dxa"/>
          </w:tcPr>
          <w:p w14:paraId="10BF39A7" w14:textId="77777777" w:rsidR="002F5D4C" w:rsidRPr="00AD537C" w:rsidRDefault="002F5D4C" w:rsidP="002F5D4C"/>
        </w:tc>
      </w:tr>
    </w:tbl>
    <w:p w14:paraId="4337701B" w14:textId="1D90677D" w:rsidR="39FA986E" w:rsidRPr="00AD537C" w:rsidRDefault="000622DC" w:rsidP="004A27CB">
      <w:pPr>
        <w:pStyle w:val="ListParagraph"/>
        <w:numPr>
          <w:ilvl w:val="0"/>
          <w:numId w:val="1"/>
        </w:numPr>
      </w:pPr>
      <w:r w:rsidRPr="00AD537C">
        <w:t>Confirm which (if any) entities in the post-</w:t>
      </w:r>
      <w:r w:rsidR="0076609B" w:rsidRPr="00AD537C">
        <w:t>t</w:t>
      </w:r>
      <w:r w:rsidRPr="00AD537C">
        <w:t xml:space="preserve">ransaction structure will be members of a ‘Tax Consolidated Group’ </w:t>
      </w:r>
      <w:r w:rsidR="000248AE" w:rsidRPr="00AD537C">
        <w:t>or ‘multiple entry consolidated group’ (</w:t>
      </w:r>
      <w:r w:rsidR="000248AE" w:rsidRPr="00121203">
        <w:rPr>
          <w:b/>
          <w:bCs/>
        </w:rPr>
        <w:t>MEC group</w:t>
      </w:r>
      <w:r w:rsidR="000248AE" w:rsidRPr="00AD537C">
        <w:t xml:space="preserve">) </w:t>
      </w:r>
      <w:r w:rsidRPr="00AD537C">
        <w:t xml:space="preserve">in accordance with the consolidation rules contained in the </w:t>
      </w:r>
      <w:r w:rsidRPr="00AD537C">
        <w:rPr>
          <w:i/>
          <w:iCs/>
        </w:rPr>
        <w:t>Income Tax Assessment Act 1997</w:t>
      </w:r>
      <w:r w:rsidR="00B93EFD">
        <w:t xml:space="preserve"> (</w:t>
      </w:r>
      <w:proofErr w:type="spellStart"/>
      <w:r w:rsidR="00B93EFD">
        <w:t>Cth</w:t>
      </w:r>
      <w:proofErr w:type="spellEnd"/>
      <w:r w:rsidR="00B93EFD">
        <w:t>)</w:t>
      </w:r>
      <w:r w:rsidRPr="00AD537C">
        <w:t xml:space="preserve"> (</w:t>
      </w:r>
      <w:r w:rsidRPr="00121203">
        <w:rPr>
          <w:b/>
          <w:bCs/>
        </w:rPr>
        <w:t>ITAA 1997</w:t>
      </w:r>
      <w:r w:rsidRPr="00AD537C">
        <w:t>) and provide the name of the head entity</w:t>
      </w:r>
      <w:r w:rsidR="000248AE" w:rsidRPr="00AD537C">
        <w:t xml:space="preserve"> / provisional head company</w:t>
      </w:r>
      <w:r w:rsidRPr="00AD537C">
        <w:t xml:space="preserve"> for each tax consolidated group</w:t>
      </w:r>
      <w:r w:rsidR="004519E0" w:rsidRPr="00AD537C">
        <w:t>.</w:t>
      </w:r>
    </w:p>
    <w:p w14:paraId="00B8A790" w14:textId="77777777" w:rsidR="000F7A92" w:rsidRDefault="000F7A92">
      <w:pPr>
        <w:spacing w:before="0" w:after="0"/>
        <w:rPr>
          <w:rFonts w:ascii="Calibri" w:hAnsi="Calibri" w:cs="Arial"/>
          <w:b/>
          <w:color w:val="4D7861" w:themeColor="accent2"/>
          <w:kern w:val="32"/>
          <w:sz w:val="28"/>
          <w:szCs w:val="26"/>
        </w:rPr>
      </w:pPr>
      <w:r>
        <w:br w:type="page"/>
      </w:r>
    </w:p>
    <w:p w14:paraId="3049F10F" w14:textId="1064A91E" w:rsidR="39FA986E" w:rsidRPr="00AD537C" w:rsidRDefault="004519E0" w:rsidP="0052134C">
      <w:pPr>
        <w:pStyle w:val="Heading3"/>
      </w:pPr>
      <w:r w:rsidRPr="00AD537C">
        <w:lastRenderedPageBreak/>
        <w:t>Cross-border structuring, global organisational impacts and associated</w:t>
      </w:r>
      <w:r w:rsidR="004A27CB" w:rsidRPr="00AD537C">
        <w:t xml:space="preserve"> </w:t>
      </w:r>
      <w:r w:rsidRPr="00AD537C">
        <w:t>tax risks:</w:t>
      </w:r>
      <w:r w:rsidRPr="00AD537C">
        <w:rPr>
          <w:rStyle w:val="cf01"/>
        </w:rPr>
        <w:t xml:space="preserve"> </w:t>
      </w:r>
      <w:r w:rsidR="002F5D4C" w:rsidRPr="00AD537C">
        <w:t>Step plan</w:t>
      </w:r>
    </w:p>
    <w:p w14:paraId="477DD651" w14:textId="55A375E1" w:rsidR="39FA986E" w:rsidRPr="00AD537C" w:rsidRDefault="275F9E59" w:rsidP="00C20C6B">
      <w:pPr>
        <w:pStyle w:val="ListParagraph"/>
        <w:numPr>
          <w:ilvl w:val="0"/>
          <w:numId w:val="1"/>
        </w:numPr>
        <w:jc w:val="both"/>
      </w:pPr>
      <w:r w:rsidRPr="00AD537C">
        <w:t xml:space="preserve">Provide the acquisition/restructure (the </w:t>
      </w:r>
      <w:r w:rsidR="0076609B" w:rsidRPr="00AD537C">
        <w:t>t</w:t>
      </w:r>
      <w:r w:rsidR="00A30953" w:rsidRPr="00AD537C">
        <w:t>ransaction)</w:t>
      </w:r>
      <w:r w:rsidRPr="00AD537C">
        <w:t xml:space="preserve"> step plan including:</w:t>
      </w:r>
    </w:p>
    <w:p w14:paraId="3787ECFD" w14:textId="723118AF" w:rsidR="774CB519" w:rsidRPr="00AD537C" w:rsidRDefault="00424BCA" w:rsidP="004A27CB">
      <w:pPr>
        <w:pStyle w:val="ListParagraph"/>
        <w:numPr>
          <w:ilvl w:val="0"/>
          <w:numId w:val="9"/>
        </w:numPr>
        <w:spacing w:line="259" w:lineRule="auto"/>
      </w:pPr>
      <w:r w:rsidRPr="00AD537C">
        <w:t>a</w:t>
      </w:r>
      <w:r w:rsidR="275F9E59" w:rsidRPr="00AD537C">
        <w:t xml:space="preserve"> diagram of the </w:t>
      </w:r>
      <w:proofErr w:type="gramStart"/>
      <w:r w:rsidR="275F9E59" w:rsidRPr="00AD537C">
        <w:t>pre</w:t>
      </w:r>
      <w:proofErr w:type="gramEnd"/>
      <w:r w:rsidR="275F9E59" w:rsidRPr="00AD537C">
        <w:t xml:space="preserve"> and post</w:t>
      </w:r>
      <w:r w:rsidR="0076609B" w:rsidRPr="00AD537C">
        <w:t>-</w:t>
      </w:r>
      <w:r w:rsidR="002F5D4C" w:rsidRPr="00AD537C">
        <w:t>t</w:t>
      </w:r>
      <w:r w:rsidR="275F9E59" w:rsidRPr="00AD537C">
        <w:t>ransaction organisational structures of the Target</w:t>
      </w:r>
      <w:r w:rsidR="2D619D21" w:rsidRPr="00AD537C">
        <w:t xml:space="preserve">, where relevant, identifying the members of a </w:t>
      </w:r>
      <w:r w:rsidR="4D0DF6A2" w:rsidRPr="00AD537C">
        <w:t>tax consolidated group</w:t>
      </w:r>
      <w:r w:rsidR="000248AE" w:rsidRPr="00AD537C">
        <w:t>/MEC group</w:t>
      </w:r>
      <w:r w:rsidR="00C7717C">
        <w:t>,</w:t>
      </w:r>
      <w:r w:rsidR="4D0DF6A2" w:rsidRPr="00AD537C">
        <w:t xml:space="preserve"> </w:t>
      </w:r>
    </w:p>
    <w:p w14:paraId="1200438C" w14:textId="608CDDB2" w:rsidR="00F85662" w:rsidRPr="00AD537C" w:rsidRDefault="00424BCA" w:rsidP="004A27CB">
      <w:pPr>
        <w:pStyle w:val="ListParagraph"/>
        <w:numPr>
          <w:ilvl w:val="0"/>
          <w:numId w:val="9"/>
        </w:numPr>
      </w:pPr>
      <w:r w:rsidRPr="00AD537C">
        <w:t>t</w:t>
      </w:r>
      <w:r w:rsidR="00F85662" w:rsidRPr="00AD537C">
        <w:t>he flow of funds</w:t>
      </w:r>
      <w:r w:rsidR="00C7717C">
        <w:t>,</w:t>
      </w:r>
    </w:p>
    <w:p w14:paraId="2F2C1153" w14:textId="1721D3B4" w:rsidR="00F85662" w:rsidRPr="00AD537C" w:rsidRDefault="00424BCA" w:rsidP="004A27CB">
      <w:pPr>
        <w:pStyle w:val="ListParagraph"/>
        <w:numPr>
          <w:ilvl w:val="0"/>
          <w:numId w:val="9"/>
        </w:numPr>
      </w:pPr>
      <w:r w:rsidRPr="00AD537C">
        <w:t>t</w:t>
      </w:r>
      <w:r w:rsidR="00F85662" w:rsidRPr="00AD537C">
        <w:t xml:space="preserve">he debt or equity characterisation of funds used to finance the </w:t>
      </w:r>
      <w:r w:rsidR="0076609B" w:rsidRPr="00AD537C">
        <w:t>t</w:t>
      </w:r>
      <w:r w:rsidR="00F85662" w:rsidRPr="00AD537C">
        <w:t>ransaction</w:t>
      </w:r>
      <w:r w:rsidR="00C7717C">
        <w:t>,</w:t>
      </w:r>
      <w:r w:rsidR="00F85662" w:rsidRPr="00AD537C">
        <w:t xml:space="preserve"> </w:t>
      </w:r>
    </w:p>
    <w:p w14:paraId="48A17139" w14:textId="07C3524C" w:rsidR="00F85662" w:rsidRPr="00AD537C" w:rsidRDefault="00424BCA" w:rsidP="004A27CB">
      <w:pPr>
        <w:pStyle w:val="ListParagraph"/>
        <w:numPr>
          <w:ilvl w:val="0"/>
          <w:numId w:val="9"/>
        </w:numPr>
      </w:pPr>
      <w:r w:rsidRPr="00AD537C">
        <w:t>t</w:t>
      </w:r>
      <w:r w:rsidR="00F85662" w:rsidRPr="00AD537C">
        <w:t>he legal form and tax residency of the ultimate investor(s) or shareholder(s) (‘the Investors’) and all the entities interposed between them and the Target</w:t>
      </w:r>
      <w:r w:rsidR="00C7717C">
        <w:t>,</w:t>
      </w:r>
      <w:r w:rsidR="00F85662" w:rsidRPr="00AD537C">
        <w:t xml:space="preserve"> </w:t>
      </w:r>
    </w:p>
    <w:p w14:paraId="748169E7" w14:textId="6B38E009" w:rsidR="00F85662" w:rsidRPr="00AD537C" w:rsidRDefault="00424BCA" w:rsidP="004A27CB">
      <w:pPr>
        <w:pStyle w:val="ListParagraph"/>
        <w:numPr>
          <w:ilvl w:val="0"/>
          <w:numId w:val="9"/>
        </w:numPr>
      </w:pPr>
      <w:r w:rsidRPr="00AD537C">
        <w:t>t</w:t>
      </w:r>
      <w:r w:rsidR="00F85662" w:rsidRPr="00AD537C">
        <w:t>he Australian and foreign tax implications of the steps</w:t>
      </w:r>
      <w:r w:rsidR="00C7717C">
        <w:t>,</w:t>
      </w:r>
      <w:r w:rsidRPr="00AD537C">
        <w:t xml:space="preserve"> and</w:t>
      </w:r>
    </w:p>
    <w:p w14:paraId="4FD0B057" w14:textId="45A2E3B9" w:rsidR="00723332" w:rsidRPr="00AD537C" w:rsidRDefault="00424BCA" w:rsidP="004A27CB">
      <w:pPr>
        <w:pStyle w:val="ListParagraph"/>
        <w:numPr>
          <w:ilvl w:val="0"/>
          <w:numId w:val="9"/>
        </w:numPr>
        <w:spacing w:line="259" w:lineRule="auto"/>
      </w:pPr>
      <w:bookmarkStart w:id="1" w:name="_Hlk158905109"/>
      <w:r w:rsidRPr="00AD537C">
        <w:t>i</w:t>
      </w:r>
      <w:r w:rsidR="00F85662" w:rsidRPr="00AD537C">
        <w:t>ndicate if any exemption or relief applies to each transaction step.</w:t>
      </w:r>
      <w:bookmarkEnd w:id="1"/>
    </w:p>
    <w:p w14:paraId="1932D7EF" w14:textId="30C85EED" w:rsidR="00723332" w:rsidRPr="00AD537C" w:rsidRDefault="00723332" w:rsidP="004A27CB">
      <w:pPr>
        <w:pStyle w:val="ListParagraph"/>
        <w:numPr>
          <w:ilvl w:val="0"/>
          <w:numId w:val="1"/>
        </w:numPr>
      </w:pPr>
      <w:r w:rsidRPr="00AD537C">
        <w:t>Where there is an expected change to the tax residency of an ultimate head company (</w:t>
      </w:r>
      <w:r w:rsidRPr="0053143C">
        <w:rPr>
          <w:b/>
          <w:bCs/>
        </w:rPr>
        <w:t>UHC</w:t>
      </w:r>
      <w:r w:rsidRPr="00AD537C">
        <w:t>)</w:t>
      </w:r>
      <w:r w:rsidR="00204DC5" w:rsidRPr="00AD537C">
        <w:t xml:space="preserve"> of the Australian entity</w:t>
      </w:r>
      <w:r w:rsidRPr="00AD537C">
        <w:t>, provide details of:</w:t>
      </w:r>
    </w:p>
    <w:p w14:paraId="3A6CD516" w14:textId="7FF79C79" w:rsidR="00723332" w:rsidRPr="00AD537C" w:rsidRDefault="0076609B" w:rsidP="004A27CB">
      <w:pPr>
        <w:pStyle w:val="ListParagraph"/>
        <w:numPr>
          <w:ilvl w:val="0"/>
          <w:numId w:val="15"/>
        </w:numPr>
        <w:spacing w:line="259" w:lineRule="auto"/>
      </w:pPr>
      <w:r w:rsidRPr="00AD537C">
        <w:t>j</w:t>
      </w:r>
      <w:r w:rsidR="00723332" w:rsidRPr="00AD537C">
        <w:t>urisdiction of new tax residency of</w:t>
      </w:r>
      <w:r w:rsidR="00A5759C">
        <w:t xml:space="preserve"> the</w:t>
      </w:r>
      <w:r w:rsidR="00723332" w:rsidRPr="00AD537C">
        <w:t xml:space="preserve"> UHC</w:t>
      </w:r>
      <w:r w:rsidR="00C7717C">
        <w:t>,</w:t>
      </w:r>
      <w:r w:rsidR="00723332" w:rsidRPr="00AD537C">
        <w:t xml:space="preserve"> </w:t>
      </w:r>
    </w:p>
    <w:p w14:paraId="7E7B2615" w14:textId="593ABAAD" w:rsidR="00424BCA" w:rsidRPr="00AD537C" w:rsidRDefault="00723332" w:rsidP="004A27CB">
      <w:pPr>
        <w:pStyle w:val="ListParagraph"/>
        <w:numPr>
          <w:ilvl w:val="0"/>
          <w:numId w:val="15"/>
        </w:numPr>
        <w:spacing w:line="259" w:lineRule="auto"/>
      </w:pPr>
      <w:r w:rsidRPr="00AD537C">
        <w:t>existing business presence and operations in the proposed new tax residency jurisdiction</w:t>
      </w:r>
      <w:r w:rsidR="00C7717C">
        <w:t>,</w:t>
      </w:r>
      <w:r w:rsidR="0076609B" w:rsidRPr="00AD537C">
        <w:t xml:space="preserve"> and</w:t>
      </w:r>
    </w:p>
    <w:p w14:paraId="40774D17" w14:textId="79837B51" w:rsidR="000248AE" w:rsidRPr="00AD537C" w:rsidRDefault="0076609B" w:rsidP="004A27CB">
      <w:pPr>
        <w:pStyle w:val="ListParagraph"/>
        <w:numPr>
          <w:ilvl w:val="0"/>
          <w:numId w:val="15"/>
        </w:numPr>
        <w:tabs>
          <w:tab w:val="left" w:pos="2552"/>
        </w:tabs>
        <w:spacing w:line="259" w:lineRule="auto"/>
      </w:pPr>
      <w:r>
        <w:t>alternative jurisdictions considered to locate the new UHC and</w:t>
      </w:r>
      <w:r w:rsidR="00723332">
        <w:t xml:space="preserve"> why </w:t>
      </w:r>
      <w:r>
        <w:t>each alternative</w:t>
      </w:r>
      <w:r w:rsidR="002579EB">
        <w:t xml:space="preserve"> </w:t>
      </w:r>
      <w:r w:rsidR="00723332">
        <w:t xml:space="preserve">jurisdiction was </w:t>
      </w:r>
      <w:r>
        <w:t>not</w:t>
      </w:r>
      <w:r w:rsidR="00723332">
        <w:t xml:space="preserve"> chosen/preferred</w:t>
      </w:r>
      <w:r>
        <w:t>.</w:t>
      </w:r>
    </w:p>
    <w:p w14:paraId="061FC79D" w14:textId="66523298" w:rsidR="774CB519" w:rsidRPr="00AD537C" w:rsidRDefault="000166B5" w:rsidP="00333D0D">
      <w:pPr>
        <w:pStyle w:val="ListParagraph"/>
        <w:numPr>
          <w:ilvl w:val="0"/>
          <w:numId w:val="1"/>
        </w:numPr>
      </w:pPr>
      <w:r w:rsidRPr="00AD537C">
        <w:t xml:space="preserve">Advise whether any restructuring was undertaken prior, or is expected to be undertaken following, the </w:t>
      </w:r>
      <w:r w:rsidR="000D5441" w:rsidRPr="00AD537C">
        <w:t>t</w:t>
      </w:r>
      <w:r w:rsidRPr="00AD537C">
        <w:t>ransaction. Include reason(s) for the restructure, a description of the restructuring steps, any known or anticipated Australian and foreign tax implications of each step, and a step plan (if available).</w:t>
      </w:r>
    </w:p>
    <w:p w14:paraId="44628CA6" w14:textId="67C83B27" w:rsidR="774CB519" w:rsidRPr="00AD537C" w:rsidRDefault="00ED6C3B" w:rsidP="00462A11">
      <w:pPr>
        <w:pStyle w:val="Heading3"/>
      </w:pPr>
      <w:r w:rsidRPr="00AD537C">
        <w:t>Funding</w:t>
      </w:r>
    </w:p>
    <w:p w14:paraId="32F19CED" w14:textId="42A1CFDE" w:rsidR="00F77C9D" w:rsidRPr="00AD537C" w:rsidRDefault="00FC6C35" w:rsidP="00424BCA">
      <w:pPr>
        <w:pStyle w:val="Bullet"/>
      </w:pPr>
      <w:r w:rsidRPr="00AD537C">
        <w:t xml:space="preserve">This section applies to the </w:t>
      </w:r>
      <w:r w:rsidR="00790FE2" w:rsidRPr="00AD537C">
        <w:t xml:space="preserve">proposed </w:t>
      </w:r>
      <w:r w:rsidRPr="00AD537C">
        <w:t xml:space="preserve">funding of the </w:t>
      </w:r>
      <w:r w:rsidR="00250817" w:rsidRPr="00AD537C">
        <w:t>t</w:t>
      </w:r>
      <w:r w:rsidRPr="00AD537C">
        <w:t>ransaction.</w:t>
      </w:r>
      <w:r w:rsidR="00790FE2" w:rsidRPr="00AD537C">
        <w:t xml:space="preserve"> </w:t>
      </w:r>
    </w:p>
    <w:p w14:paraId="06390899" w14:textId="731FA96C" w:rsidR="003F1525" w:rsidRPr="00AD537C" w:rsidRDefault="003F1525" w:rsidP="00424BCA">
      <w:pPr>
        <w:pStyle w:val="Heading4"/>
        <w:spacing w:before="0"/>
      </w:pPr>
      <w:r w:rsidRPr="00AD537C">
        <w:t>General</w:t>
      </w:r>
    </w:p>
    <w:p w14:paraId="5485A25D" w14:textId="1F408EC1" w:rsidR="001A732F" w:rsidRPr="00AD537C" w:rsidRDefault="01DE115C" w:rsidP="004A27CB">
      <w:pPr>
        <w:pStyle w:val="ListParagraph"/>
        <w:numPr>
          <w:ilvl w:val="0"/>
          <w:numId w:val="1"/>
        </w:numPr>
      </w:pPr>
      <w:r w:rsidRPr="00AD537C">
        <w:t>Provide details of the existing and</w:t>
      </w:r>
      <w:r w:rsidR="00A6600C" w:rsidRPr="00AD537C">
        <w:t xml:space="preserve"> </w:t>
      </w:r>
      <w:r w:rsidRPr="00AD537C">
        <w:t>proposed equity and debt instruments of Australian entities, including Australian Bid/Hold Co(s).</w:t>
      </w:r>
      <w:r w:rsidR="6D661DC9" w:rsidRPr="00AD537C">
        <w:t xml:space="preserve"> To avoid doubt, this includes </w:t>
      </w:r>
      <w:r w:rsidR="000248AE" w:rsidRPr="00AD537C">
        <w:t>instruments that are not classified under Division 974</w:t>
      </w:r>
      <w:r w:rsidR="005927B4">
        <w:t xml:space="preserve"> of the ITAA 1997</w:t>
      </w:r>
      <w:r w:rsidR="000248AE" w:rsidRPr="00AD537C">
        <w:t xml:space="preserve">. </w:t>
      </w:r>
    </w:p>
    <w:p w14:paraId="18990245" w14:textId="0A34A9CD" w:rsidR="0052134C" w:rsidRPr="00AD537C" w:rsidRDefault="01DE115C" w:rsidP="004A27CB">
      <w:pPr>
        <w:pStyle w:val="ListParagraph"/>
        <w:numPr>
          <w:ilvl w:val="0"/>
          <w:numId w:val="1"/>
        </w:numPr>
      </w:pPr>
      <w:r w:rsidRPr="00AD537C">
        <w:t xml:space="preserve">State if the ultimate unitholders or shareholders (either directly or indirectly via a wholly owned subsidiary or associate) propose to borrow from a third party for the purpose of financing part or </w:t>
      </w:r>
      <w:r w:rsidR="5AA852DE" w:rsidRPr="00AD537C">
        <w:t>all</w:t>
      </w:r>
      <w:r w:rsidRPr="00AD537C">
        <w:t xml:space="preserve"> the proposed acquisition. If yes, provide the following information for each </w:t>
      </w:r>
      <w:r w:rsidR="2F77F575" w:rsidRPr="00AD537C">
        <w:t>third-party</w:t>
      </w:r>
      <w:r w:rsidRPr="00AD537C">
        <w:t xml:space="preserve"> loan: </w:t>
      </w:r>
    </w:p>
    <w:p w14:paraId="5BF672EB" w14:textId="3D186E44" w:rsidR="0052134C" w:rsidRPr="00AD537C" w:rsidRDefault="01DE115C" w:rsidP="004A27CB">
      <w:pPr>
        <w:pStyle w:val="ListParagraph"/>
        <w:numPr>
          <w:ilvl w:val="0"/>
          <w:numId w:val="20"/>
        </w:numPr>
        <w:spacing w:line="259" w:lineRule="auto"/>
      </w:pPr>
      <w:r w:rsidRPr="00AD537C">
        <w:t>the lender’s name</w:t>
      </w:r>
      <w:r w:rsidR="002456F2">
        <w:t>,</w:t>
      </w:r>
    </w:p>
    <w:p w14:paraId="622F9909" w14:textId="6D4B045C" w:rsidR="0052134C" w:rsidRPr="00AD537C" w:rsidRDefault="01DE115C" w:rsidP="004A27CB">
      <w:pPr>
        <w:pStyle w:val="ListParagraph"/>
        <w:numPr>
          <w:ilvl w:val="0"/>
          <w:numId w:val="20"/>
        </w:numPr>
        <w:spacing w:line="259" w:lineRule="auto"/>
      </w:pPr>
      <w:r w:rsidRPr="00AD537C">
        <w:t>the amount</w:t>
      </w:r>
      <w:r w:rsidR="002456F2">
        <w:t>,</w:t>
      </w:r>
    </w:p>
    <w:p w14:paraId="168B99E4" w14:textId="71F33F92" w:rsidR="0052134C" w:rsidRPr="00AD537C" w:rsidRDefault="01DE115C" w:rsidP="004A27CB">
      <w:pPr>
        <w:pStyle w:val="ListParagraph"/>
        <w:numPr>
          <w:ilvl w:val="0"/>
          <w:numId w:val="20"/>
        </w:numPr>
        <w:spacing w:line="259" w:lineRule="auto"/>
      </w:pPr>
      <w:r w:rsidRPr="00AD537C">
        <w:t>the currency used</w:t>
      </w:r>
      <w:r w:rsidR="002456F2">
        <w:t>,</w:t>
      </w:r>
      <w:r w:rsidR="00250817" w:rsidRPr="00AD537C">
        <w:t xml:space="preserve"> and</w:t>
      </w:r>
    </w:p>
    <w:p w14:paraId="379BA9DB" w14:textId="1AB90BF4" w:rsidR="00250817" w:rsidRPr="00AD537C" w:rsidRDefault="01DE115C" w:rsidP="004A27CB">
      <w:pPr>
        <w:pStyle w:val="ListParagraph"/>
        <w:numPr>
          <w:ilvl w:val="0"/>
          <w:numId w:val="20"/>
        </w:numPr>
        <w:spacing w:line="259" w:lineRule="auto"/>
      </w:pPr>
      <w:r w:rsidRPr="00AD537C">
        <w:t>the rate of interest (including AUD equivalent interest rate).</w:t>
      </w:r>
    </w:p>
    <w:p w14:paraId="7A0DBC59" w14:textId="21D362D1" w:rsidR="00921EE6" w:rsidRPr="00AD537C" w:rsidRDefault="01DE115C" w:rsidP="004A27CB">
      <w:pPr>
        <w:pStyle w:val="ListParagraph"/>
        <w:numPr>
          <w:ilvl w:val="0"/>
          <w:numId w:val="1"/>
        </w:numPr>
      </w:pPr>
      <w:r w:rsidRPr="00AD537C">
        <w:t>Using the below table, provide details of the existing and proposed debt and equity arrangements of Australian entities, including Australian Bid/Hold Co(s) used for the purpose of acquiring Target Co/Group.</w:t>
      </w:r>
    </w:p>
    <w:p w14:paraId="6698D5C3" w14:textId="5E4A8845" w:rsidR="00921EE6" w:rsidRPr="00AD537C" w:rsidRDefault="01DE115C" w:rsidP="004A27CB">
      <w:pPr>
        <w:pStyle w:val="ListParagraph"/>
        <w:numPr>
          <w:ilvl w:val="0"/>
          <w:numId w:val="21"/>
        </w:numPr>
        <w:spacing w:line="259" w:lineRule="auto"/>
      </w:pPr>
      <w:r w:rsidRPr="00AD537C">
        <w:t>Include details of existing and proposed debt and equity arrangements of any non</w:t>
      </w:r>
      <w:r w:rsidR="00376865">
        <w:noBreakHyphen/>
      </w:r>
      <w:r w:rsidRPr="00AD537C">
        <w:t>resident direct beneficiaries/unitholders of Division 6 trusts, to the extent that they are expected to give rise to deductible amounts against the distributions from Division 6 trusts.</w:t>
      </w:r>
    </w:p>
    <w:p w14:paraId="0CB424E9" w14:textId="6D2217CD" w:rsidR="00250817" w:rsidRPr="00AD537C" w:rsidRDefault="00250817" w:rsidP="004A27CB">
      <w:pPr>
        <w:pStyle w:val="ListParagraph"/>
        <w:numPr>
          <w:ilvl w:val="0"/>
          <w:numId w:val="21"/>
        </w:numPr>
        <w:spacing w:line="259" w:lineRule="auto"/>
      </w:pPr>
      <w:r w:rsidRPr="00AD537C">
        <w:t xml:space="preserve">Regarding debt instalments, attach any relevant registrations under the </w:t>
      </w:r>
      <w:r w:rsidRPr="00406DC3">
        <w:rPr>
          <w:i/>
          <w:iCs/>
        </w:rPr>
        <w:t>Personal Property Securit</w:t>
      </w:r>
      <w:r w:rsidR="00406DC3" w:rsidRPr="00406DC3">
        <w:rPr>
          <w:i/>
          <w:iCs/>
        </w:rPr>
        <w:t>ies</w:t>
      </w:r>
      <w:r w:rsidRPr="00406DC3">
        <w:rPr>
          <w:i/>
          <w:iCs/>
        </w:rPr>
        <w:t xml:space="preserve"> Act 2009</w:t>
      </w:r>
      <w:r w:rsidRPr="00AD537C">
        <w:t xml:space="preserve"> (</w:t>
      </w:r>
      <w:proofErr w:type="spellStart"/>
      <w:r w:rsidRPr="00AD537C">
        <w:t>Cth</w:t>
      </w:r>
      <w:proofErr w:type="spellEnd"/>
      <w:r w:rsidRPr="00AD537C">
        <w:t>)</w:t>
      </w:r>
      <w:r w:rsidR="00921EE6" w:rsidRPr="00AD537C">
        <w:t>.</w:t>
      </w:r>
    </w:p>
    <w:tbl>
      <w:tblPr>
        <w:tblStyle w:val="TableGrid"/>
        <w:tblW w:w="0" w:type="auto"/>
        <w:tblInd w:w="607" w:type="dxa"/>
        <w:tblLook w:val="04A0" w:firstRow="1" w:lastRow="0" w:firstColumn="1" w:lastColumn="0" w:noHBand="0" w:noVBand="1"/>
      </w:tblPr>
      <w:tblGrid>
        <w:gridCol w:w="7887"/>
      </w:tblGrid>
      <w:tr w:rsidR="00D413A3" w:rsidRPr="00AD537C" w14:paraId="518CBD8E" w14:textId="77777777" w:rsidTr="00E82282">
        <w:trPr>
          <w:tblHeader/>
        </w:trPr>
        <w:tc>
          <w:tcPr>
            <w:tcW w:w="0" w:type="auto"/>
            <w:shd w:val="clear" w:color="auto" w:fill="000000" w:themeFill="text1"/>
          </w:tcPr>
          <w:p w14:paraId="5D6BDB5B" w14:textId="01C33C85" w:rsidR="003F1525" w:rsidRPr="00AD537C" w:rsidRDefault="003F1525" w:rsidP="002575CE">
            <w:pPr>
              <w:spacing w:afterLines="60" w:after="144"/>
              <w:rPr>
                <w:rFonts w:cs="Calibri Light"/>
                <w:b/>
                <w:bCs/>
                <w:szCs w:val="22"/>
              </w:rPr>
            </w:pPr>
            <w:r w:rsidRPr="00AD537C">
              <w:rPr>
                <w:rFonts w:cs="Calibri Light"/>
                <w:b/>
                <w:bCs/>
                <w:szCs w:val="22"/>
              </w:rPr>
              <w:lastRenderedPageBreak/>
              <w:t xml:space="preserve">Key terms                  </w:t>
            </w:r>
          </w:p>
        </w:tc>
      </w:tr>
      <w:tr w:rsidR="003F1525" w:rsidRPr="00AD537C" w14:paraId="23010268" w14:textId="17C589B4" w:rsidTr="00A30953">
        <w:tc>
          <w:tcPr>
            <w:tcW w:w="0" w:type="auto"/>
          </w:tcPr>
          <w:p w14:paraId="77E4E3B8" w14:textId="77777777" w:rsidR="003F1525" w:rsidRPr="00AD537C" w:rsidRDefault="003F1525" w:rsidP="002575CE">
            <w:pPr>
              <w:spacing w:afterLines="60" w:after="144"/>
              <w:rPr>
                <w:rFonts w:cs="Calibri Light"/>
                <w:szCs w:val="22"/>
              </w:rPr>
            </w:pPr>
            <w:r w:rsidRPr="00AD537C">
              <w:rPr>
                <w:rFonts w:cs="Calibri Light"/>
                <w:szCs w:val="22"/>
              </w:rPr>
              <w:t>Legal characterisation (e.g. loan, note, ordinary shares, preference shares etc)</w:t>
            </w:r>
          </w:p>
        </w:tc>
      </w:tr>
      <w:tr w:rsidR="003F1525" w:rsidRPr="00AD537C" w14:paraId="60F8FB51" w14:textId="5CC1668F" w:rsidTr="00A30953">
        <w:tc>
          <w:tcPr>
            <w:tcW w:w="0" w:type="auto"/>
          </w:tcPr>
          <w:p w14:paraId="78C60D4B" w14:textId="68576F4D" w:rsidR="003F1525" w:rsidRPr="00AD537C" w:rsidRDefault="003F1525" w:rsidP="002575CE">
            <w:pPr>
              <w:spacing w:afterLines="60" w:after="144"/>
              <w:rPr>
                <w:rFonts w:cs="Calibri Light"/>
                <w:szCs w:val="22"/>
              </w:rPr>
            </w:pPr>
            <w:r w:rsidRPr="00AD537C">
              <w:rPr>
                <w:rFonts w:cs="Calibri Light"/>
                <w:szCs w:val="22"/>
              </w:rPr>
              <w:t xml:space="preserve">Tax Treatment </w:t>
            </w:r>
          </w:p>
        </w:tc>
      </w:tr>
      <w:tr w:rsidR="003F1525" w:rsidRPr="00AD537C" w14:paraId="65EED70F" w14:textId="67DA8501" w:rsidTr="00A30953">
        <w:tc>
          <w:tcPr>
            <w:tcW w:w="0" w:type="auto"/>
          </w:tcPr>
          <w:p w14:paraId="4ACE430B" w14:textId="77777777" w:rsidR="003F1525" w:rsidRPr="00AD537C" w:rsidRDefault="003F1525" w:rsidP="002575CE">
            <w:pPr>
              <w:spacing w:afterLines="60" w:after="144"/>
              <w:rPr>
                <w:rFonts w:cs="Calibri Light"/>
                <w:szCs w:val="22"/>
              </w:rPr>
            </w:pPr>
            <w:r w:rsidRPr="00AD537C">
              <w:rPr>
                <w:rFonts w:cs="Calibri Light"/>
                <w:szCs w:val="22"/>
              </w:rPr>
              <w:t>Tax Treatment for counterparty in foreign jurisdiction</w:t>
            </w:r>
          </w:p>
        </w:tc>
      </w:tr>
      <w:tr w:rsidR="003F1525" w:rsidRPr="00AD537C" w14:paraId="75747691" w14:textId="144BB342" w:rsidTr="00A30953">
        <w:tc>
          <w:tcPr>
            <w:tcW w:w="0" w:type="auto"/>
          </w:tcPr>
          <w:p w14:paraId="16BD4107" w14:textId="77777777" w:rsidR="003F1525" w:rsidRPr="00AD537C" w:rsidRDefault="003F1525" w:rsidP="002575CE">
            <w:pPr>
              <w:spacing w:afterLines="60" w:after="144"/>
              <w:rPr>
                <w:rFonts w:cs="Calibri Light"/>
                <w:szCs w:val="22"/>
              </w:rPr>
            </w:pPr>
            <w:r w:rsidRPr="00AD537C">
              <w:rPr>
                <w:rFonts w:cs="Calibri Light"/>
                <w:szCs w:val="22"/>
              </w:rPr>
              <w:t>Confirm whether treatment is different for income tax purposes and accounting purposes</w:t>
            </w:r>
          </w:p>
        </w:tc>
      </w:tr>
      <w:tr w:rsidR="003F1525" w:rsidRPr="00AD537C" w14:paraId="5A645397" w14:textId="730AA6FB" w:rsidTr="00A30953">
        <w:tc>
          <w:tcPr>
            <w:tcW w:w="0" w:type="auto"/>
          </w:tcPr>
          <w:p w14:paraId="0FF58E64" w14:textId="4F70203D" w:rsidR="003F1525" w:rsidRPr="00AD537C" w:rsidRDefault="003F1525" w:rsidP="002575CE">
            <w:pPr>
              <w:spacing w:afterLines="60" w:after="144"/>
              <w:rPr>
                <w:rFonts w:cs="Calibri Light"/>
                <w:szCs w:val="22"/>
              </w:rPr>
            </w:pPr>
            <w:r w:rsidRPr="00AD537C">
              <w:rPr>
                <w:rFonts w:cs="Calibri Light"/>
                <w:szCs w:val="22"/>
              </w:rPr>
              <w:t>Recipient of Funds (Borrower, Issuer)</w:t>
            </w:r>
          </w:p>
        </w:tc>
      </w:tr>
      <w:tr w:rsidR="003F1525" w:rsidRPr="00AD537C" w14:paraId="33668D80" w14:textId="20FF421F" w:rsidTr="00A30953">
        <w:tc>
          <w:tcPr>
            <w:tcW w:w="0" w:type="auto"/>
          </w:tcPr>
          <w:p w14:paraId="55E7A9B6" w14:textId="39F5597D" w:rsidR="003F1525" w:rsidRPr="00AD537C" w:rsidRDefault="003F1525" w:rsidP="002575CE">
            <w:pPr>
              <w:spacing w:afterLines="60" w:after="144"/>
              <w:rPr>
                <w:rFonts w:cs="Calibri Light"/>
                <w:szCs w:val="22"/>
              </w:rPr>
            </w:pPr>
            <w:r w:rsidRPr="00AD537C">
              <w:rPr>
                <w:rFonts w:cs="Calibri Light"/>
                <w:szCs w:val="22"/>
              </w:rPr>
              <w:t>Tax residency of Recipient</w:t>
            </w:r>
          </w:p>
        </w:tc>
      </w:tr>
      <w:tr w:rsidR="003F1525" w:rsidRPr="00AD537C" w14:paraId="78A1F9C5" w14:textId="2E861D7F" w:rsidTr="00A30953">
        <w:tc>
          <w:tcPr>
            <w:tcW w:w="0" w:type="auto"/>
          </w:tcPr>
          <w:p w14:paraId="004F2DF0" w14:textId="77777777" w:rsidR="003F1525" w:rsidRPr="00AD537C" w:rsidRDefault="003F1525" w:rsidP="002575CE">
            <w:pPr>
              <w:spacing w:afterLines="60" w:after="144"/>
              <w:rPr>
                <w:rFonts w:cs="Calibri Light"/>
                <w:szCs w:val="22"/>
              </w:rPr>
            </w:pPr>
            <w:r w:rsidRPr="00AD537C">
              <w:rPr>
                <w:rFonts w:cs="Calibri Light"/>
                <w:szCs w:val="22"/>
              </w:rPr>
              <w:t xml:space="preserve">Provider of Funds (Lender, Holder) (Clearly state if the Provider/s are a related party or not) </w:t>
            </w:r>
          </w:p>
        </w:tc>
      </w:tr>
      <w:tr w:rsidR="003F1525" w:rsidRPr="00AD537C" w14:paraId="5B45642B" w14:textId="672FD4A8" w:rsidTr="00A30953">
        <w:tc>
          <w:tcPr>
            <w:tcW w:w="0" w:type="auto"/>
          </w:tcPr>
          <w:p w14:paraId="78F7F380" w14:textId="1476D978" w:rsidR="003F1525" w:rsidRPr="00AD537C" w:rsidRDefault="003F1525" w:rsidP="002575CE">
            <w:pPr>
              <w:spacing w:afterLines="60" w:after="144"/>
              <w:rPr>
                <w:rFonts w:cs="Calibri Light"/>
                <w:szCs w:val="22"/>
              </w:rPr>
            </w:pPr>
            <w:r w:rsidRPr="00AD537C">
              <w:rPr>
                <w:rFonts w:cs="Calibri Light"/>
                <w:szCs w:val="22"/>
              </w:rPr>
              <w:t>Tax residency of Provider</w:t>
            </w:r>
          </w:p>
        </w:tc>
      </w:tr>
      <w:tr w:rsidR="003F1525" w:rsidRPr="00AD537C" w14:paraId="5035F0A8" w14:textId="2D43714B" w:rsidTr="00A30953">
        <w:tc>
          <w:tcPr>
            <w:tcW w:w="0" w:type="auto"/>
          </w:tcPr>
          <w:p w14:paraId="1020AA67" w14:textId="77777777" w:rsidR="003F1525" w:rsidRPr="00AD537C" w:rsidRDefault="003F1525" w:rsidP="002575CE">
            <w:pPr>
              <w:spacing w:afterLines="60" w:after="144"/>
              <w:rPr>
                <w:rFonts w:cs="Calibri Light"/>
                <w:szCs w:val="22"/>
              </w:rPr>
            </w:pPr>
            <w:r w:rsidRPr="00AD537C">
              <w:rPr>
                <w:rFonts w:cs="Calibri Light"/>
                <w:szCs w:val="22"/>
              </w:rPr>
              <w:t xml:space="preserve">Amount </w:t>
            </w:r>
          </w:p>
        </w:tc>
      </w:tr>
      <w:tr w:rsidR="003F1525" w:rsidRPr="00AD537C" w14:paraId="7B2C4681" w14:textId="4C82EDC8" w:rsidTr="00A30953">
        <w:tc>
          <w:tcPr>
            <w:tcW w:w="0" w:type="auto"/>
          </w:tcPr>
          <w:p w14:paraId="405E428F" w14:textId="77777777" w:rsidR="003F1525" w:rsidRPr="00AD537C" w:rsidRDefault="003F1525" w:rsidP="002575CE">
            <w:pPr>
              <w:spacing w:afterLines="60" w:after="144"/>
              <w:rPr>
                <w:rFonts w:cs="Calibri Light"/>
                <w:szCs w:val="22"/>
              </w:rPr>
            </w:pPr>
            <w:r w:rsidRPr="00AD537C">
              <w:rPr>
                <w:rFonts w:cs="Calibri Light"/>
                <w:szCs w:val="22"/>
              </w:rPr>
              <w:t>Tenor</w:t>
            </w:r>
          </w:p>
        </w:tc>
      </w:tr>
      <w:tr w:rsidR="003F1525" w:rsidRPr="00AD537C" w14:paraId="633065A9" w14:textId="5DE1C289" w:rsidTr="00A30953">
        <w:tc>
          <w:tcPr>
            <w:tcW w:w="0" w:type="auto"/>
          </w:tcPr>
          <w:p w14:paraId="6C99CBE8" w14:textId="77777777" w:rsidR="003F1525" w:rsidRPr="00AD537C" w:rsidRDefault="003F1525" w:rsidP="002575CE">
            <w:pPr>
              <w:spacing w:afterLines="60" w:after="144"/>
              <w:rPr>
                <w:rFonts w:cs="Calibri Light"/>
                <w:szCs w:val="22"/>
              </w:rPr>
            </w:pPr>
            <w:r w:rsidRPr="00AD537C">
              <w:rPr>
                <w:rFonts w:cs="Calibri Light"/>
                <w:szCs w:val="22"/>
              </w:rPr>
              <w:t>Ranking (i.e. senior, subordinate, mezzanine)</w:t>
            </w:r>
          </w:p>
        </w:tc>
      </w:tr>
      <w:tr w:rsidR="003F1525" w:rsidRPr="00AD537C" w14:paraId="1C0C949F" w14:textId="1E088FD3" w:rsidTr="00A30953">
        <w:tc>
          <w:tcPr>
            <w:tcW w:w="0" w:type="auto"/>
          </w:tcPr>
          <w:p w14:paraId="52B8F144" w14:textId="77777777" w:rsidR="003F1525" w:rsidRPr="00AD537C" w:rsidRDefault="003F1525" w:rsidP="002575CE">
            <w:pPr>
              <w:spacing w:afterLines="60" w:after="144"/>
              <w:rPr>
                <w:rFonts w:cs="Calibri Light"/>
                <w:szCs w:val="22"/>
              </w:rPr>
            </w:pPr>
            <w:r w:rsidRPr="00AD537C">
              <w:rPr>
                <w:rFonts w:cs="Calibri Light"/>
                <w:szCs w:val="22"/>
              </w:rPr>
              <w:t>Currency</w:t>
            </w:r>
          </w:p>
        </w:tc>
      </w:tr>
      <w:tr w:rsidR="003F1525" w:rsidRPr="00AD537C" w14:paraId="22940647" w14:textId="2033D536" w:rsidTr="00A30953">
        <w:tc>
          <w:tcPr>
            <w:tcW w:w="0" w:type="auto"/>
          </w:tcPr>
          <w:p w14:paraId="29AE6637" w14:textId="77777777" w:rsidR="003F1525" w:rsidRPr="00AD537C" w:rsidRDefault="003F1525" w:rsidP="002575CE">
            <w:pPr>
              <w:spacing w:afterLines="60" w:after="144"/>
              <w:rPr>
                <w:rFonts w:cs="Calibri Light"/>
                <w:szCs w:val="22"/>
              </w:rPr>
            </w:pPr>
            <w:r w:rsidRPr="00AD537C">
              <w:rPr>
                <w:rFonts w:cs="Calibri Light"/>
                <w:szCs w:val="22"/>
              </w:rPr>
              <w:t>Interest rate (</w:t>
            </w:r>
            <w:r w:rsidRPr="00AD537C">
              <w:rPr>
                <w:rFonts w:cs="Calibri Light"/>
                <w:i/>
                <w:szCs w:val="22"/>
              </w:rPr>
              <w:t xml:space="preserve">if currency is not AUD, also equivalent AUD rate) </w:t>
            </w:r>
          </w:p>
        </w:tc>
      </w:tr>
      <w:tr w:rsidR="003F1525" w:rsidRPr="00AD537C" w14:paraId="53F424C9" w14:textId="5B6136A1" w:rsidTr="00A30953">
        <w:tc>
          <w:tcPr>
            <w:tcW w:w="0" w:type="auto"/>
          </w:tcPr>
          <w:p w14:paraId="23C19169" w14:textId="77777777" w:rsidR="003F1525" w:rsidRPr="00AD537C" w:rsidRDefault="003F1525" w:rsidP="002575CE">
            <w:pPr>
              <w:spacing w:afterLines="60" w:after="144"/>
              <w:rPr>
                <w:rFonts w:cs="Calibri Light"/>
                <w:szCs w:val="22"/>
              </w:rPr>
            </w:pPr>
            <w:r w:rsidRPr="00AD537C">
              <w:rPr>
                <w:rFonts w:cs="Calibri Light"/>
                <w:szCs w:val="22"/>
              </w:rPr>
              <w:t>Credit rating of the Borrower</w:t>
            </w:r>
          </w:p>
        </w:tc>
      </w:tr>
      <w:tr w:rsidR="003F1525" w:rsidRPr="00AD537C" w14:paraId="633C7ECB" w14:textId="7E22B191" w:rsidTr="00A30953">
        <w:tc>
          <w:tcPr>
            <w:tcW w:w="0" w:type="auto"/>
          </w:tcPr>
          <w:p w14:paraId="58342356" w14:textId="2E819EE5" w:rsidR="003F1525" w:rsidRPr="00AD537C" w:rsidRDefault="003F1525" w:rsidP="002575CE">
            <w:pPr>
              <w:spacing w:afterLines="60" w:after="144"/>
              <w:rPr>
                <w:rFonts w:cs="Calibri Light"/>
                <w:szCs w:val="22"/>
              </w:rPr>
            </w:pPr>
            <w:r w:rsidRPr="00AD537C">
              <w:rPr>
                <w:rFonts w:cs="Calibri Light"/>
                <w:szCs w:val="22"/>
              </w:rPr>
              <w:t xml:space="preserve">Other features (security including copies of </w:t>
            </w:r>
            <w:r w:rsidR="00B011DB" w:rsidRPr="00AD537C">
              <w:rPr>
                <w:i/>
                <w:iCs/>
              </w:rPr>
              <w:t>Personal Property Securities Act 2009</w:t>
            </w:r>
            <w:r w:rsidR="00B011DB" w:rsidRPr="00AD537C">
              <w:t xml:space="preserve"> (</w:t>
            </w:r>
            <w:proofErr w:type="spellStart"/>
            <w:r w:rsidR="00B011DB" w:rsidRPr="00AD537C">
              <w:t>Cth</w:t>
            </w:r>
            <w:proofErr w:type="spellEnd"/>
            <w:r w:rsidR="00B011DB" w:rsidRPr="00AD537C">
              <w:t xml:space="preserve">) </w:t>
            </w:r>
            <w:r w:rsidRPr="00AD537C">
              <w:rPr>
                <w:rFonts w:cs="Calibri Light"/>
                <w:szCs w:val="22"/>
              </w:rPr>
              <w:t>registration, restrictive covenants, guarantees, guarantee fee, contingencies, payment in kind, convertibility, options, withholding tax gross-up clause etc.)</w:t>
            </w:r>
          </w:p>
        </w:tc>
      </w:tr>
    </w:tbl>
    <w:p w14:paraId="4E25B110" w14:textId="77777777" w:rsidR="00357CF8" w:rsidRDefault="00357CF8" w:rsidP="00F77C9D">
      <w:pPr>
        <w:pStyle w:val="Heading4"/>
      </w:pPr>
    </w:p>
    <w:p w14:paraId="74DDF6CE" w14:textId="77777777" w:rsidR="00357CF8" w:rsidRDefault="00357CF8">
      <w:pPr>
        <w:spacing w:before="0" w:after="0"/>
        <w:rPr>
          <w:rFonts w:cs="Arial"/>
          <w:color w:val="4D7861" w:themeColor="accent2"/>
          <w:kern w:val="32"/>
          <w:szCs w:val="26"/>
        </w:rPr>
      </w:pPr>
      <w:r>
        <w:br w:type="page"/>
      </w:r>
    </w:p>
    <w:p w14:paraId="61E87CCA" w14:textId="1706A468" w:rsidR="00790FE2" w:rsidRPr="00AD537C" w:rsidRDefault="00790FE2" w:rsidP="00F77C9D">
      <w:pPr>
        <w:pStyle w:val="Heading4"/>
      </w:pPr>
      <w:r w:rsidRPr="00AD537C">
        <w:lastRenderedPageBreak/>
        <w:t>Related Part</w:t>
      </w:r>
      <w:r w:rsidR="00E4672A" w:rsidRPr="00AD537C">
        <w:t>y</w:t>
      </w:r>
      <w:r w:rsidRPr="00AD537C">
        <w:t xml:space="preserve"> </w:t>
      </w:r>
      <w:r w:rsidR="00BB1372" w:rsidRPr="00AD537C">
        <w:t>Financing</w:t>
      </w:r>
      <w:r w:rsidR="000D4E52" w:rsidRPr="00AD537C">
        <w:t xml:space="preserve"> (RP</w:t>
      </w:r>
      <w:r w:rsidR="00BB1372" w:rsidRPr="00AD537C">
        <w:t>F</w:t>
      </w:r>
      <w:r w:rsidR="000D4E52" w:rsidRPr="00AD537C">
        <w:t>)</w:t>
      </w:r>
    </w:p>
    <w:p w14:paraId="084694EA" w14:textId="399808DC" w:rsidR="000D4E52" w:rsidRPr="00AD537C" w:rsidRDefault="000D4E52" w:rsidP="00921EE6">
      <w:pPr>
        <w:rPr>
          <w:rFonts w:cs="Calibri Light"/>
          <w:iCs/>
          <w:szCs w:val="22"/>
        </w:rPr>
      </w:pPr>
      <w:r w:rsidRPr="00AD537C">
        <w:t>This section applies to RP</w:t>
      </w:r>
      <w:r w:rsidR="00BB1372" w:rsidRPr="00AD537C">
        <w:t>F</w:t>
      </w:r>
      <w:r w:rsidRPr="00AD537C">
        <w:t xml:space="preserve">. Where no </w:t>
      </w:r>
      <w:r w:rsidR="00BB1372" w:rsidRPr="00AD537C">
        <w:t>RPF</w:t>
      </w:r>
      <w:r w:rsidRPr="00AD537C">
        <w:t xml:space="preserve"> is expected these questions </w:t>
      </w:r>
      <w:r w:rsidRPr="00AD537C">
        <w:rPr>
          <w:u w:val="single"/>
        </w:rPr>
        <w:t>do not need</w:t>
      </w:r>
      <w:r w:rsidRPr="00AD537C">
        <w:t xml:space="preserve"> to be answered. </w:t>
      </w:r>
    </w:p>
    <w:p w14:paraId="7E39B0BE" w14:textId="5BC3892E" w:rsidR="001A732F" w:rsidRPr="00AD537C" w:rsidRDefault="01DE115C" w:rsidP="004A27CB">
      <w:pPr>
        <w:pStyle w:val="ListParagraph"/>
        <w:numPr>
          <w:ilvl w:val="0"/>
          <w:numId w:val="1"/>
        </w:numPr>
      </w:pPr>
      <w:r w:rsidRPr="00AD537C">
        <w:rPr>
          <w:rFonts w:cs="Calibri Light"/>
        </w:rPr>
        <w:t xml:space="preserve">For any </w:t>
      </w:r>
      <w:r w:rsidRPr="00AD537C">
        <w:t>related</w:t>
      </w:r>
      <w:r w:rsidRPr="00AD537C">
        <w:rPr>
          <w:rFonts w:cs="Calibri Light"/>
        </w:rPr>
        <w:t xml:space="preserve"> party debt disclosed</w:t>
      </w:r>
      <w:r w:rsidR="65421906" w:rsidRPr="00AD537C">
        <w:rPr>
          <w:rFonts w:cs="Calibri Light"/>
        </w:rPr>
        <w:t xml:space="preserve"> a</w:t>
      </w:r>
      <w:r w:rsidR="47BA105A" w:rsidRPr="00AD537C">
        <w:rPr>
          <w:rFonts w:cs="Calibri Light"/>
        </w:rPr>
        <w:t>bove</w:t>
      </w:r>
      <w:r w:rsidRPr="00AD537C">
        <w:rPr>
          <w:rFonts w:cs="Calibri Light"/>
        </w:rPr>
        <w:t xml:space="preserve">, </w:t>
      </w:r>
      <w:proofErr w:type="gramStart"/>
      <w:r w:rsidRPr="00AD537C">
        <w:rPr>
          <w:rFonts w:cs="Calibri Light"/>
        </w:rPr>
        <w:t>whether or not</w:t>
      </w:r>
      <w:proofErr w:type="gramEnd"/>
      <w:r w:rsidRPr="00AD537C">
        <w:rPr>
          <w:rFonts w:cs="Calibri Light"/>
        </w:rPr>
        <w:t xml:space="preserve"> cross-border, having regard to Schedule 1 of the Practical Compliance Guideline 2017/4 (</w:t>
      </w:r>
      <w:r w:rsidRPr="00EE76B3">
        <w:rPr>
          <w:rFonts w:cs="Calibri Light"/>
          <w:b/>
          <w:bCs/>
        </w:rPr>
        <w:t>PCG 2017/4</w:t>
      </w:r>
      <w:r w:rsidRPr="00AD537C">
        <w:rPr>
          <w:rFonts w:cs="Calibri Light"/>
        </w:rPr>
        <w:t xml:space="preserve">), advise for </w:t>
      </w:r>
      <w:r w:rsidRPr="00AD537C">
        <w:t>each:</w:t>
      </w:r>
    </w:p>
    <w:p w14:paraId="063E7511" w14:textId="1BDAB183" w:rsidR="001A732F" w:rsidRPr="00AD537C" w:rsidRDefault="00921EE6" w:rsidP="004A27CB">
      <w:pPr>
        <w:pStyle w:val="ListParagraph"/>
        <w:numPr>
          <w:ilvl w:val="0"/>
          <w:numId w:val="19"/>
        </w:numPr>
      </w:pPr>
      <w:r w:rsidRPr="00AD537C">
        <w:t>t</w:t>
      </w:r>
      <w:r w:rsidR="01DE115C" w:rsidRPr="00AD537C">
        <w:t>he risk rating</w:t>
      </w:r>
      <w:r w:rsidR="00B74936">
        <w:t>,</w:t>
      </w:r>
    </w:p>
    <w:p w14:paraId="251DD363" w14:textId="2FD8B09A" w:rsidR="001A732F" w:rsidRPr="00AD537C" w:rsidRDefault="00921EE6" w:rsidP="004A27CB">
      <w:pPr>
        <w:pStyle w:val="ListParagraph"/>
        <w:numPr>
          <w:ilvl w:val="0"/>
          <w:numId w:val="19"/>
        </w:numPr>
      </w:pPr>
      <w:r w:rsidRPr="00AD537C">
        <w:t>h</w:t>
      </w:r>
      <w:r w:rsidR="01DE115C" w:rsidRPr="00AD537C">
        <w:t>ow each price and behavioural indicator was scored</w:t>
      </w:r>
      <w:r w:rsidR="00B74936">
        <w:t>,</w:t>
      </w:r>
      <w:r w:rsidR="01DE115C" w:rsidRPr="00AD537C">
        <w:t xml:space="preserve"> and</w:t>
      </w:r>
    </w:p>
    <w:p w14:paraId="04433803" w14:textId="4FF7F627" w:rsidR="001A732F" w:rsidRPr="00AD537C" w:rsidRDefault="00921EE6" w:rsidP="004A27CB">
      <w:pPr>
        <w:pStyle w:val="ListParagraph"/>
        <w:numPr>
          <w:ilvl w:val="0"/>
          <w:numId w:val="19"/>
        </w:numPr>
      </w:pPr>
      <w:r w:rsidRPr="00AD537C">
        <w:t>w</w:t>
      </w:r>
      <w:r w:rsidR="01DE115C" w:rsidRPr="00AD537C">
        <w:t xml:space="preserve">hich of the comparison options at paragraph 61 of Schedule 1 of PCG 2017/4 was used and the key terms of the debt (as set out in the table at question </w:t>
      </w:r>
      <w:r w:rsidR="008D5B0A">
        <w:t>8</w:t>
      </w:r>
      <w:r w:rsidR="01DE115C" w:rsidRPr="00AD537C">
        <w:t xml:space="preserve">) </w:t>
      </w:r>
      <w:bookmarkStart w:id="2" w:name="_Hlk158793881"/>
      <w:r w:rsidR="01DE115C" w:rsidRPr="00AD537C">
        <w:t>and where the global cost of funds options is used, include the working papers created to calculate the cost</w:t>
      </w:r>
      <w:bookmarkEnd w:id="2"/>
      <w:r w:rsidR="01DE115C" w:rsidRPr="00AD537C">
        <w:t>.</w:t>
      </w:r>
    </w:p>
    <w:p w14:paraId="60AC163C" w14:textId="76AB188C" w:rsidR="003F1525" w:rsidRPr="00AD537C" w:rsidRDefault="003F1525" w:rsidP="004A27CB">
      <w:pPr>
        <w:pStyle w:val="ListParagraph"/>
        <w:numPr>
          <w:ilvl w:val="0"/>
          <w:numId w:val="1"/>
        </w:numPr>
      </w:pPr>
      <w:r w:rsidRPr="00AD537C">
        <w:t xml:space="preserve">Provide for each arrangement where </w:t>
      </w:r>
      <w:r w:rsidR="000248AE" w:rsidRPr="00AD537C">
        <w:t xml:space="preserve">a </w:t>
      </w:r>
      <w:r w:rsidRPr="00AD537C">
        <w:t xml:space="preserve">payment is expected to be made to the </w:t>
      </w:r>
      <w:r w:rsidRPr="00AD537C">
        <w:rPr>
          <w:rFonts w:cs="Calibri Light"/>
        </w:rPr>
        <w:t>Investors</w:t>
      </w:r>
      <w:r w:rsidRPr="00AD537C">
        <w:t xml:space="preserve"> or a </w:t>
      </w:r>
      <w:r w:rsidRPr="00AD537C">
        <w:rPr>
          <w:rFonts w:cs="Calibri Light"/>
        </w:rPr>
        <w:t>non</w:t>
      </w:r>
      <w:r w:rsidRPr="00AD537C">
        <w:t xml:space="preserve">-resident associate of the Investors after the </w:t>
      </w:r>
      <w:r w:rsidR="006123B6" w:rsidRPr="00AD537C">
        <w:t>t</w:t>
      </w:r>
      <w:r w:rsidRPr="00AD537C">
        <w:t xml:space="preserve">ransaction’s completion: </w:t>
      </w:r>
    </w:p>
    <w:p w14:paraId="44DDD6AF" w14:textId="26FBDEC3" w:rsidR="003F1525" w:rsidRPr="00AD537C" w:rsidRDefault="00921EE6" w:rsidP="004A27CB">
      <w:pPr>
        <w:pStyle w:val="ListParagraph"/>
        <w:numPr>
          <w:ilvl w:val="0"/>
          <w:numId w:val="14"/>
        </w:numPr>
        <w:ind w:left="720"/>
      </w:pPr>
      <w:r w:rsidRPr="00AD537C">
        <w:t>t</w:t>
      </w:r>
      <w:r w:rsidR="003F1525" w:rsidRPr="00AD537C">
        <w:t>he name and residency of the recipient</w:t>
      </w:r>
      <w:r w:rsidR="003C032D">
        <w:t>,</w:t>
      </w:r>
    </w:p>
    <w:p w14:paraId="0D81DE14" w14:textId="279D9803" w:rsidR="003F1525" w:rsidRPr="00AD537C" w:rsidRDefault="00921EE6" w:rsidP="004A27CB">
      <w:pPr>
        <w:pStyle w:val="ListParagraph"/>
        <w:numPr>
          <w:ilvl w:val="0"/>
          <w:numId w:val="14"/>
        </w:numPr>
        <w:ind w:left="720"/>
      </w:pPr>
      <w:r w:rsidRPr="00AD537C">
        <w:t>a</w:t>
      </w:r>
      <w:r w:rsidR="003F1525" w:rsidRPr="00AD537C">
        <w:t xml:space="preserve"> description of the payment’s characterisation for tax purposes in the hands of the recipient</w:t>
      </w:r>
      <w:r w:rsidR="003C032D">
        <w:t>,</w:t>
      </w:r>
    </w:p>
    <w:p w14:paraId="4A316B53" w14:textId="63DD7544" w:rsidR="003F1525" w:rsidRPr="00AD537C" w:rsidRDefault="00921EE6" w:rsidP="004A27CB">
      <w:pPr>
        <w:pStyle w:val="ListParagraph"/>
        <w:numPr>
          <w:ilvl w:val="0"/>
          <w:numId w:val="14"/>
        </w:numPr>
        <w:ind w:left="720"/>
      </w:pPr>
      <w:r w:rsidRPr="00AD537C">
        <w:t>t</w:t>
      </w:r>
      <w:r w:rsidR="003F1525" w:rsidRPr="00AD537C">
        <w:t>he proportion of the payment subject to withholding tax</w:t>
      </w:r>
      <w:r w:rsidR="003C032D">
        <w:t>,</w:t>
      </w:r>
      <w:r w:rsidR="003F1525" w:rsidRPr="00AD537C">
        <w:t xml:space="preserve"> </w:t>
      </w:r>
    </w:p>
    <w:p w14:paraId="64EF229F" w14:textId="41E8AB29" w:rsidR="003F1525" w:rsidRPr="00AD537C" w:rsidRDefault="00921EE6" w:rsidP="004A27CB">
      <w:pPr>
        <w:pStyle w:val="ListParagraph"/>
        <w:numPr>
          <w:ilvl w:val="0"/>
          <w:numId w:val="14"/>
        </w:numPr>
        <w:ind w:left="720"/>
      </w:pPr>
      <w:r w:rsidRPr="00AD537C">
        <w:t>i</w:t>
      </w:r>
      <w:r w:rsidR="003F1525" w:rsidRPr="00AD537C">
        <w:t>f the withholding tax rate is less than 10% or the payment is not subject to withholding tax, the reason(s) why</w:t>
      </w:r>
      <w:r w:rsidR="003C032D">
        <w:t>,</w:t>
      </w:r>
    </w:p>
    <w:p w14:paraId="451014F0" w14:textId="15FB2E98" w:rsidR="003F1525" w:rsidRPr="00AD537C" w:rsidRDefault="00921EE6" w:rsidP="004A27CB">
      <w:pPr>
        <w:pStyle w:val="ListParagraph"/>
        <w:numPr>
          <w:ilvl w:val="0"/>
          <w:numId w:val="14"/>
        </w:numPr>
        <w:ind w:left="720"/>
      </w:pPr>
      <w:r w:rsidRPr="00AD537C">
        <w:t>c</w:t>
      </w:r>
      <w:r w:rsidR="003F1525" w:rsidRPr="00AD537C">
        <w:t>onfirmation of whether the arrangement was entered into on a back-to-back basis, and if so, details of the other loan or similar arrangement that provided the original funding, including the name and residency of the entities involved, a description of the tax and accounting characterisation of the arrangement and the associated payments in the relevant jurisdictions and the cumulative total tax rate the interest/distribution will be subject to</w:t>
      </w:r>
      <w:r w:rsidR="003C032D">
        <w:t>,</w:t>
      </w:r>
    </w:p>
    <w:p w14:paraId="3FE2D754" w14:textId="603749DE" w:rsidR="003F1525" w:rsidRPr="00AD537C" w:rsidRDefault="00921EE6" w:rsidP="004A27CB">
      <w:pPr>
        <w:pStyle w:val="ListParagraph"/>
        <w:numPr>
          <w:ilvl w:val="0"/>
          <w:numId w:val="14"/>
        </w:numPr>
        <w:ind w:left="720"/>
      </w:pPr>
      <w:r w:rsidRPr="00AD537C">
        <w:t>t</w:t>
      </w:r>
      <w:r w:rsidR="003F1525" w:rsidRPr="00AD537C">
        <w:t>he tax treatment of the receipt for the non-resident entity receiving the distribution, including the effective tax rate it will be subject to</w:t>
      </w:r>
      <w:r w:rsidR="003C032D">
        <w:t>,</w:t>
      </w:r>
      <w:r w:rsidR="003F1525" w:rsidRPr="00AD537C">
        <w:t xml:space="preserve"> </w:t>
      </w:r>
    </w:p>
    <w:p w14:paraId="7C6B75B2" w14:textId="4419C2E2" w:rsidR="003F1525" w:rsidRPr="00AD537C" w:rsidRDefault="00921EE6" w:rsidP="004A27CB">
      <w:pPr>
        <w:pStyle w:val="ListParagraph"/>
        <w:numPr>
          <w:ilvl w:val="0"/>
          <w:numId w:val="14"/>
        </w:numPr>
        <w:ind w:left="720"/>
      </w:pPr>
      <w:r w:rsidRPr="00AD537C">
        <w:t>a</w:t>
      </w:r>
      <w:r w:rsidR="003F1525" w:rsidRPr="00AD537C">
        <w:t>nalysis of the application of Subdivision 832-C of the ITAA 1997 to the arrangement</w:t>
      </w:r>
      <w:r w:rsidR="003C032D">
        <w:t>,</w:t>
      </w:r>
    </w:p>
    <w:p w14:paraId="532E5A89" w14:textId="2B562DE5" w:rsidR="002038A2" w:rsidRPr="00AD537C" w:rsidRDefault="00921EE6" w:rsidP="004A27CB">
      <w:pPr>
        <w:pStyle w:val="ListParagraph"/>
        <w:numPr>
          <w:ilvl w:val="0"/>
          <w:numId w:val="14"/>
        </w:numPr>
        <w:ind w:left="720"/>
      </w:pPr>
      <w:r w:rsidRPr="00AD537C">
        <w:t>i</w:t>
      </w:r>
      <w:r w:rsidR="003F1525" w:rsidRPr="00AD537C">
        <w:t xml:space="preserve">f the </w:t>
      </w:r>
      <w:r w:rsidR="002038A2" w:rsidRPr="00AD537C">
        <w:t xml:space="preserve">payment is </w:t>
      </w:r>
      <w:proofErr w:type="gramStart"/>
      <w:r w:rsidR="002038A2" w:rsidRPr="00AD537C">
        <w:t xml:space="preserve">in the nature of </w:t>
      </w:r>
      <w:r w:rsidR="003F1525" w:rsidRPr="00AD537C">
        <w:t>interest</w:t>
      </w:r>
      <w:proofErr w:type="gramEnd"/>
      <w:r w:rsidR="003F1525" w:rsidRPr="00AD537C">
        <w:t xml:space="preserve"> </w:t>
      </w:r>
      <w:r w:rsidR="002038A2" w:rsidRPr="00AD537C">
        <w:t xml:space="preserve">or an amount under a derivative financial arrangement and the </w:t>
      </w:r>
      <w:r w:rsidR="003F1525" w:rsidRPr="00AD537C">
        <w:t>payment is subject to a foreign tax rate of 10% or less, confirm if the integrity rule in Subdivision 832-J of the ITAA 1997 applies</w:t>
      </w:r>
      <w:r w:rsidR="00750A7A">
        <w:t>,</w:t>
      </w:r>
      <w:r w:rsidR="003F1525" w:rsidRPr="00AD537C">
        <w:t xml:space="preserve"> </w:t>
      </w:r>
      <w:r w:rsidR="002038A2" w:rsidRPr="00AD537C">
        <w:t>and</w:t>
      </w:r>
    </w:p>
    <w:p w14:paraId="22651F78" w14:textId="46B340F5" w:rsidR="00921EE6" w:rsidRPr="00AD537C" w:rsidRDefault="00921EE6" w:rsidP="004A27CB">
      <w:pPr>
        <w:pStyle w:val="ListParagraph"/>
        <w:numPr>
          <w:ilvl w:val="0"/>
          <w:numId w:val="14"/>
        </w:numPr>
        <w:ind w:left="720"/>
      </w:pPr>
      <w:r w:rsidRPr="00AD537C">
        <w:t>i</w:t>
      </w:r>
      <w:r w:rsidR="002038A2" w:rsidRPr="00AD537C">
        <w:t xml:space="preserve">f the payment </w:t>
      </w:r>
      <w:r w:rsidR="000F29A4" w:rsidRPr="00AD537C">
        <w:t xml:space="preserve">is </w:t>
      </w:r>
      <w:proofErr w:type="gramStart"/>
      <w:r w:rsidR="002038A2" w:rsidRPr="00AD537C">
        <w:t>in the nature of interest</w:t>
      </w:r>
      <w:proofErr w:type="gramEnd"/>
      <w:r w:rsidR="002038A2" w:rsidRPr="00AD537C">
        <w:t xml:space="preserve"> or an amount under a derivative financial arrangement and </w:t>
      </w:r>
      <w:r w:rsidR="003F1525" w:rsidRPr="00AD537C">
        <w:t xml:space="preserve">deductions were not denied under Subdivision 832-J of the ITAA 1997, advise the reason for this and provide all the relevant details. </w:t>
      </w:r>
    </w:p>
    <w:p w14:paraId="65CFC65A" w14:textId="23CF25C4" w:rsidR="00D66716" w:rsidRPr="00AD537C" w:rsidRDefault="00D66716" w:rsidP="00D66716">
      <w:pPr>
        <w:pStyle w:val="ListParagraph"/>
      </w:pPr>
      <w:r w:rsidRPr="00AD537C">
        <w:t>Reasons may include:</w:t>
      </w:r>
    </w:p>
    <w:p w14:paraId="7B414683" w14:textId="53EBE3ED" w:rsidR="00D66716" w:rsidRPr="00AD537C" w:rsidRDefault="00D66716" w:rsidP="00D66716">
      <w:pPr>
        <w:pStyle w:val="ListParagraph"/>
        <w:numPr>
          <w:ilvl w:val="0"/>
          <w:numId w:val="26"/>
        </w:numPr>
      </w:pPr>
      <w:r w:rsidRPr="00AD537C">
        <w:t>Principal purpose test is not satisfied</w:t>
      </w:r>
      <w:r w:rsidR="007B15C8">
        <w:t>,</w:t>
      </w:r>
    </w:p>
    <w:p w14:paraId="123B12A4" w14:textId="1B92E984" w:rsidR="00D66716" w:rsidRPr="00AD537C" w:rsidRDefault="00D66716" w:rsidP="00D66716">
      <w:pPr>
        <w:pStyle w:val="ListParagraph"/>
        <w:numPr>
          <w:ilvl w:val="0"/>
          <w:numId w:val="26"/>
        </w:numPr>
      </w:pPr>
      <w:r w:rsidRPr="00AD537C">
        <w:t>Same or lower rate of tax would have been paid by ultimate parent</w:t>
      </w:r>
      <w:r w:rsidR="007B15C8">
        <w:t>,</w:t>
      </w:r>
    </w:p>
    <w:p w14:paraId="7F46EB93" w14:textId="79E1F3C8" w:rsidR="00D66716" w:rsidRPr="00AD537C" w:rsidRDefault="00D66716" w:rsidP="00D66716">
      <w:pPr>
        <w:pStyle w:val="ListParagraph"/>
        <w:numPr>
          <w:ilvl w:val="0"/>
          <w:numId w:val="26"/>
        </w:numPr>
      </w:pPr>
      <w:r w:rsidRPr="00AD537C">
        <w:t>It is reasonable to conclude that the amount of the payment has been considered under the CFC provisions (Part X of the ITAA 1936) and the sum of the attribution percentages of each attributable taxpayer in relation to the interposed foreign entity is at least 100%, or the payment has been taken into account under the law of a foreign country with substantially the same effect as the CFC provisions in Part X</w:t>
      </w:r>
      <w:r w:rsidR="007B15C8">
        <w:t>,</w:t>
      </w:r>
    </w:p>
    <w:p w14:paraId="5EC869FA" w14:textId="60111F01" w:rsidR="00D66716" w:rsidRPr="00AD537C" w:rsidRDefault="00D66716" w:rsidP="00D66716">
      <w:pPr>
        <w:pStyle w:val="ListParagraph"/>
        <w:numPr>
          <w:ilvl w:val="0"/>
          <w:numId w:val="26"/>
        </w:numPr>
      </w:pPr>
      <w:r w:rsidRPr="00AD537C">
        <w:t>The payment has given rise to a mismatch in an earlier Subdivision of 832</w:t>
      </w:r>
      <w:r w:rsidR="007B15C8">
        <w:t>.</w:t>
      </w:r>
    </w:p>
    <w:p w14:paraId="5A24C8F9" w14:textId="77777777" w:rsidR="001019CD" w:rsidRDefault="001019CD">
      <w:pPr>
        <w:spacing w:before="0" w:after="0"/>
        <w:rPr>
          <w:rFonts w:cs="Arial"/>
          <w:color w:val="4D7861" w:themeColor="accent2"/>
          <w:kern w:val="32"/>
          <w:szCs w:val="26"/>
        </w:rPr>
      </w:pPr>
      <w:r>
        <w:br w:type="page"/>
      </w:r>
    </w:p>
    <w:p w14:paraId="0D10F8A1" w14:textId="168A7E87" w:rsidR="003F1525" w:rsidRPr="00AD537C" w:rsidRDefault="003F1525" w:rsidP="003F1525">
      <w:pPr>
        <w:pStyle w:val="Heading4"/>
      </w:pPr>
      <w:r w:rsidRPr="00AD537C">
        <w:lastRenderedPageBreak/>
        <w:t>Interest withholding tax exemption – public offer test</w:t>
      </w:r>
    </w:p>
    <w:p w14:paraId="20F8B1C5" w14:textId="074E558F" w:rsidR="000D4E52" w:rsidRPr="00AD537C" w:rsidRDefault="000D4E52" w:rsidP="000D4E52">
      <w:pPr>
        <w:rPr>
          <w:rFonts w:cs="Calibri Light"/>
          <w:iCs/>
          <w:szCs w:val="22"/>
        </w:rPr>
      </w:pPr>
      <w:r w:rsidRPr="00AD537C">
        <w:t xml:space="preserve">This section applies to interest withholding tax exemption. Where the public offer test is not relied upon these questions </w:t>
      </w:r>
      <w:r w:rsidRPr="00AD537C">
        <w:rPr>
          <w:u w:val="single"/>
        </w:rPr>
        <w:t>do not need</w:t>
      </w:r>
      <w:r w:rsidRPr="00AD537C">
        <w:t xml:space="preserve"> to be answered. </w:t>
      </w:r>
    </w:p>
    <w:p w14:paraId="588CB582" w14:textId="7A2B08A1" w:rsidR="001A732F" w:rsidRPr="00AD537C" w:rsidRDefault="01DE115C" w:rsidP="004A27CB">
      <w:pPr>
        <w:pStyle w:val="ListParagraph"/>
        <w:numPr>
          <w:ilvl w:val="0"/>
          <w:numId w:val="1"/>
        </w:numPr>
      </w:pPr>
      <w:bookmarkStart w:id="3" w:name="_Hlk158907389"/>
      <w:r w:rsidRPr="00AD537C">
        <w:t xml:space="preserve">If </w:t>
      </w:r>
      <w:r w:rsidR="55F9A5E8" w:rsidRPr="00AD537C">
        <w:t xml:space="preserve">the ‘public offer test’ exemption from interest withholding tax in </w:t>
      </w:r>
      <w:r w:rsidRPr="00AD537C">
        <w:t>section 128F of the ITAA 1936 is being relied upon</w:t>
      </w:r>
      <w:r w:rsidR="1544DCAE" w:rsidRPr="00AD537C">
        <w:t xml:space="preserve">, </w:t>
      </w:r>
      <w:r w:rsidRPr="00AD537C">
        <w:t>descri</w:t>
      </w:r>
      <w:r w:rsidR="00BB0291" w:rsidRPr="00AD537C">
        <w:t>be</w:t>
      </w:r>
      <w:r w:rsidRPr="00AD537C">
        <w:t xml:space="preserve"> the process (and </w:t>
      </w:r>
      <w:r w:rsidR="00BB0291" w:rsidRPr="00AD537C">
        <w:t xml:space="preserve">provide </w:t>
      </w:r>
      <w:r w:rsidRPr="00AD537C">
        <w:t>evidence of that process) by which the debt interests or debentures have been publicly offered, to meet the requirements of the ‘public offer test’. Include:</w:t>
      </w:r>
    </w:p>
    <w:p w14:paraId="291C20B5" w14:textId="242B8335" w:rsidR="001A732F" w:rsidRPr="00AD537C" w:rsidRDefault="00921EE6" w:rsidP="004A27CB">
      <w:pPr>
        <w:pStyle w:val="ListParagraph"/>
        <w:numPr>
          <w:ilvl w:val="0"/>
          <w:numId w:val="18"/>
        </w:numPr>
      </w:pPr>
      <w:r w:rsidRPr="00AD537C">
        <w:t>d</w:t>
      </w:r>
      <w:r w:rsidR="01DE115C" w:rsidRPr="00AD537C">
        <w:t>etails as to which ‘public offer test’ was satisfied under subsection 128F (3), (3A) or (4)</w:t>
      </w:r>
      <w:r w:rsidR="000965DD">
        <w:t>,</w:t>
      </w:r>
      <w:r w:rsidR="01DE115C" w:rsidRPr="00AD537C">
        <w:t xml:space="preserve"> </w:t>
      </w:r>
    </w:p>
    <w:p w14:paraId="371F897C" w14:textId="0D7D8E0C" w:rsidR="001A732F" w:rsidRPr="00AD537C" w:rsidRDefault="01DE115C" w:rsidP="004A27CB">
      <w:pPr>
        <w:pStyle w:val="ListParagraph"/>
        <w:numPr>
          <w:ilvl w:val="0"/>
          <w:numId w:val="18"/>
        </w:numPr>
      </w:pPr>
      <w:r w:rsidRPr="00AD537C">
        <w:t xml:space="preserve"> </w:t>
      </w:r>
      <w:r w:rsidR="00921EE6" w:rsidRPr="00AD537C">
        <w:t>t</w:t>
      </w:r>
      <w:r w:rsidRPr="00AD537C">
        <w:t>he list of parties to which an invitation was made in relation to the public offer (</w:t>
      </w:r>
      <w:proofErr w:type="gramStart"/>
      <w:r w:rsidRPr="00AD537C">
        <w:t>whether or not</w:t>
      </w:r>
      <w:proofErr w:type="gramEnd"/>
      <w:r w:rsidRPr="00AD537C">
        <w:t xml:space="preserve"> they ultimately took up the offer)</w:t>
      </w:r>
      <w:r w:rsidR="000965DD">
        <w:t>,</w:t>
      </w:r>
      <w:r w:rsidRPr="00AD537C">
        <w:t xml:space="preserve"> </w:t>
      </w:r>
    </w:p>
    <w:p w14:paraId="4FEA29B2" w14:textId="77FC6574" w:rsidR="001A732F" w:rsidRPr="00AD537C" w:rsidRDefault="00921EE6" w:rsidP="004A27CB">
      <w:pPr>
        <w:pStyle w:val="ListParagraph"/>
        <w:numPr>
          <w:ilvl w:val="0"/>
          <w:numId w:val="18"/>
        </w:numPr>
      </w:pPr>
      <w:r w:rsidRPr="00AD537C">
        <w:t>a</w:t>
      </w:r>
      <w:r w:rsidR="01DE115C" w:rsidRPr="00AD537C">
        <w:t>ny publication, offering circular, brochure, prospectus, information memoranda or other similar marketing document related to the subscription</w:t>
      </w:r>
      <w:r w:rsidR="000965DD">
        <w:t>,</w:t>
      </w:r>
      <w:r w:rsidR="01DE115C" w:rsidRPr="00AD537C">
        <w:t xml:space="preserve"> </w:t>
      </w:r>
    </w:p>
    <w:p w14:paraId="654E6EB9" w14:textId="7A239759" w:rsidR="001A732F" w:rsidRPr="00AD537C" w:rsidRDefault="00921EE6" w:rsidP="004A27CB">
      <w:pPr>
        <w:pStyle w:val="ListParagraph"/>
        <w:numPr>
          <w:ilvl w:val="0"/>
          <w:numId w:val="18"/>
        </w:numPr>
      </w:pPr>
      <w:r w:rsidRPr="00AD537C">
        <w:t>a</w:t>
      </w:r>
      <w:r w:rsidR="01DE115C" w:rsidRPr="00AD537C">
        <w:t>ny draft term sheet or equivalent that was provided</w:t>
      </w:r>
      <w:r w:rsidR="000965DD">
        <w:t>, and</w:t>
      </w:r>
      <w:r w:rsidR="01DE115C" w:rsidRPr="00AD537C">
        <w:t xml:space="preserve"> </w:t>
      </w:r>
    </w:p>
    <w:p w14:paraId="0CFA9FFA" w14:textId="3CC46123" w:rsidR="001A732F" w:rsidRPr="00AD537C" w:rsidRDefault="00921EE6" w:rsidP="004A27CB">
      <w:pPr>
        <w:pStyle w:val="ListParagraph"/>
        <w:numPr>
          <w:ilvl w:val="0"/>
          <w:numId w:val="18"/>
        </w:numPr>
      </w:pPr>
      <w:r w:rsidRPr="00AD537C">
        <w:t>c</w:t>
      </w:r>
      <w:r w:rsidR="01DE115C" w:rsidRPr="00AD537C">
        <w:t xml:space="preserve">onfirm whether any dealer, manager or underwriter was involved with your capital raising process. Provide names, descriptions, agreements, and any marketing documents produced by the dealer, manager, or underwriter. </w:t>
      </w:r>
    </w:p>
    <w:p w14:paraId="15A74FF9" w14:textId="7E4813D5" w:rsidR="0041013C" w:rsidRPr="00AD537C" w:rsidRDefault="62A75F8E" w:rsidP="00501C94">
      <w:pPr>
        <w:rPr>
          <w:rFonts w:eastAsiaTheme="minorEastAsia" w:cs="Arial"/>
          <w:color w:val="4D7861" w:themeColor="accent2"/>
          <w:szCs w:val="22"/>
        </w:rPr>
      </w:pPr>
      <w:bookmarkStart w:id="4" w:name="_Hlk170132256"/>
      <w:bookmarkEnd w:id="3"/>
      <w:r w:rsidRPr="00AD537C">
        <w:rPr>
          <w:rFonts w:eastAsiaTheme="minorEastAsia" w:cs="Arial"/>
          <w:color w:val="4D7861" w:themeColor="accent2"/>
          <w:szCs w:val="22"/>
        </w:rPr>
        <w:t>Thin capitalisation</w:t>
      </w:r>
    </w:p>
    <w:p w14:paraId="168612E5" w14:textId="530162AE" w:rsidR="003F2C54" w:rsidRPr="00AD537C" w:rsidRDefault="00F37790" w:rsidP="004A27CB">
      <w:pPr>
        <w:pStyle w:val="ListParagraph"/>
        <w:numPr>
          <w:ilvl w:val="0"/>
          <w:numId w:val="1"/>
        </w:numPr>
      </w:pPr>
      <w:r w:rsidRPr="00AD537C">
        <w:t xml:space="preserve">For each entity mentioned in </w:t>
      </w:r>
      <w:r w:rsidR="00921EE6" w:rsidRPr="00AD537C">
        <w:t>Q</w:t>
      </w:r>
      <w:r w:rsidRPr="00AD537C">
        <w:t>uestion 1 under the Tax Character section</w:t>
      </w:r>
      <w:r w:rsidR="003F2C54" w:rsidRPr="00AD537C">
        <w:t xml:space="preserve">, </w:t>
      </w:r>
      <w:r w:rsidR="008E4860" w:rsidRPr="00AD537C">
        <w:t xml:space="preserve">for the income year/s in which the </w:t>
      </w:r>
      <w:r w:rsidR="00921EE6" w:rsidRPr="00AD537C">
        <w:t>t</w:t>
      </w:r>
      <w:r w:rsidR="008E4860" w:rsidRPr="00AD537C">
        <w:t xml:space="preserve">ransaction </w:t>
      </w:r>
      <w:r w:rsidR="00C60410" w:rsidRPr="00AD537C">
        <w:t>is to be undertaken (whether all or any part)</w:t>
      </w:r>
      <w:r w:rsidR="008E4860" w:rsidRPr="00AD537C">
        <w:t xml:space="preserve">, </w:t>
      </w:r>
      <w:r w:rsidR="003F2C54" w:rsidRPr="00AD537C">
        <w:t>advise whether the entity:</w:t>
      </w:r>
      <w:r w:rsidRPr="00AD537C">
        <w:t xml:space="preserve"> </w:t>
      </w:r>
    </w:p>
    <w:p w14:paraId="780273E2" w14:textId="18194B17" w:rsidR="00F37790" w:rsidRPr="00AD537C" w:rsidRDefault="00F37790" w:rsidP="004A27CB">
      <w:pPr>
        <w:pStyle w:val="ListParagraph"/>
        <w:numPr>
          <w:ilvl w:val="0"/>
          <w:numId w:val="22"/>
        </w:numPr>
      </w:pPr>
      <w:r w:rsidRPr="00AD537C">
        <w:t xml:space="preserve">will be subject to the thin capitalisation rules in Division 820 of the ITAA 1997 </w:t>
      </w:r>
    </w:p>
    <w:p w14:paraId="5A5DEC03" w14:textId="110D2877" w:rsidR="00F37790" w:rsidRPr="00AD537C" w:rsidRDefault="003F2C54" w:rsidP="004A27CB">
      <w:pPr>
        <w:pStyle w:val="ListParagraph"/>
        <w:numPr>
          <w:ilvl w:val="0"/>
          <w:numId w:val="22"/>
        </w:numPr>
      </w:pPr>
      <w:r w:rsidRPr="00AD537C">
        <w:t xml:space="preserve">anticipates </w:t>
      </w:r>
      <w:r w:rsidR="00F37790" w:rsidRPr="00AD537C">
        <w:t>satisf</w:t>
      </w:r>
      <w:r w:rsidRPr="00AD537C">
        <w:t>ying</w:t>
      </w:r>
      <w:r w:rsidR="00F37790" w:rsidRPr="00AD537C">
        <w:t xml:space="preserve"> the asset threshold test in section 820-37 of the ITAA 1997 </w:t>
      </w:r>
    </w:p>
    <w:p w14:paraId="60ABB6B4" w14:textId="0DA7D2C2" w:rsidR="00F37790" w:rsidRPr="00AD537C" w:rsidRDefault="003F2C54" w:rsidP="004A27CB">
      <w:pPr>
        <w:pStyle w:val="ListParagraph"/>
        <w:numPr>
          <w:ilvl w:val="0"/>
          <w:numId w:val="22"/>
        </w:numPr>
      </w:pPr>
      <w:r w:rsidRPr="00AD537C">
        <w:t xml:space="preserve">anticipates </w:t>
      </w:r>
      <w:r w:rsidR="00F37790" w:rsidRPr="00AD537C">
        <w:t>claiming an exemption as a special purpose entity pursuant to section 820-3</w:t>
      </w:r>
      <w:r w:rsidRPr="00AD537C">
        <w:t>9</w:t>
      </w:r>
      <w:r w:rsidR="00F37790" w:rsidRPr="00AD537C">
        <w:t xml:space="preserve"> of the ITAA 1997</w:t>
      </w:r>
      <w:r w:rsidRPr="00AD537C">
        <w:t xml:space="preserve"> (including any part of the </w:t>
      </w:r>
      <w:proofErr w:type="gramStart"/>
      <w:r w:rsidRPr="00AD537C">
        <w:t>entity’s controlled</w:t>
      </w:r>
      <w:proofErr w:type="gramEnd"/>
      <w:r w:rsidRPr="00AD537C">
        <w:t xml:space="preserve"> member/s where the entity is the head entity of a Tax Consolidated Group or MEC group)</w:t>
      </w:r>
      <w:r w:rsidR="00F37790" w:rsidRPr="00AD537C">
        <w:t>.</w:t>
      </w:r>
    </w:p>
    <w:p w14:paraId="52FB2477" w14:textId="2D34D836" w:rsidR="008E4860" w:rsidRPr="00AD537C" w:rsidRDefault="008E4860" w:rsidP="004A27CB">
      <w:pPr>
        <w:pStyle w:val="ListParagraph"/>
        <w:numPr>
          <w:ilvl w:val="0"/>
          <w:numId w:val="22"/>
        </w:numPr>
      </w:pPr>
      <w:r w:rsidRPr="00AD537C">
        <w:t>anticipates applying the fixed ratio test or group ratio test</w:t>
      </w:r>
    </w:p>
    <w:p w14:paraId="2E2DD7C1" w14:textId="6FDE7DFE" w:rsidR="00F37790" w:rsidRPr="00AD537C" w:rsidRDefault="008E4860" w:rsidP="004A27CB">
      <w:pPr>
        <w:pStyle w:val="ListParagraph"/>
        <w:numPr>
          <w:ilvl w:val="0"/>
          <w:numId w:val="22"/>
        </w:numPr>
      </w:pPr>
      <w:r w:rsidRPr="00AD537C">
        <w:t xml:space="preserve">anticipates applying </w:t>
      </w:r>
      <w:r w:rsidR="00F37790" w:rsidRPr="00AD537C">
        <w:t xml:space="preserve">the </w:t>
      </w:r>
      <w:proofErr w:type="gramStart"/>
      <w:r w:rsidR="00F37790" w:rsidRPr="00AD537C">
        <w:t>third party</w:t>
      </w:r>
      <w:proofErr w:type="gramEnd"/>
      <w:r w:rsidR="00F37790" w:rsidRPr="00AD537C">
        <w:t xml:space="preserve"> debt test </w:t>
      </w:r>
      <w:r w:rsidRPr="00AD537C">
        <w:t xml:space="preserve">and/or using the </w:t>
      </w:r>
      <w:r w:rsidR="00F37790" w:rsidRPr="00AD537C">
        <w:t xml:space="preserve">conduit financing </w:t>
      </w:r>
      <w:r w:rsidRPr="00AD537C">
        <w:t xml:space="preserve">conditions </w:t>
      </w:r>
      <w:r w:rsidR="00F37790" w:rsidRPr="00AD537C">
        <w:t>in section</w:t>
      </w:r>
      <w:r w:rsidRPr="00AD537C">
        <w:t>s</w:t>
      </w:r>
      <w:r w:rsidR="00F37790" w:rsidRPr="00AD537C">
        <w:t xml:space="preserve"> 820-427B </w:t>
      </w:r>
      <w:r w:rsidRPr="00AD537C">
        <w:t xml:space="preserve">and 820-427C </w:t>
      </w:r>
      <w:r w:rsidR="00F37790" w:rsidRPr="00AD537C">
        <w:t>of the ITAA</w:t>
      </w:r>
      <w:r w:rsidR="005C7ABD">
        <w:t xml:space="preserve"> </w:t>
      </w:r>
      <w:r w:rsidR="00F37790" w:rsidRPr="00AD537C">
        <w:t>1997</w:t>
      </w:r>
      <w:r w:rsidR="006745FC" w:rsidRPr="00AD537C">
        <w:t>.</w:t>
      </w:r>
    </w:p>
    <w:bookmarkEnd w:id="4"/>
    <w:p w14:paraId="2B57B454" w14:textId="4DFC95CB" w:rsidR="0030317E" w:rsidRPr="00AD537C" w:rsidRDefault="0030317E" w:rsidP="0030317E">
      <w:pPr>
        <w:rPr>
          <w:rFonts w:eastAsiaTheme="minorEastAsia" w:cs="Arial"/>
          <w:color w:val="4D7861" w:themeColor="accent2"/>
          <w:szCs w:val="22"/>
        </w:rPr>
      </w:pPr>
      <w:r w:rsidRPr="00AD537C">
        <w:rPr>
          <w:rFonts w:eastAsiaTheme="minorEastAsia" w:cs="Arial"/>
          <w:color w:val="4D7861" w:themeColor="accent2"/>
          <w:szCs w:val="22"/>
        </w:rPr>
        <w:t>Debt Deduction Creation Rules (DDCR)</w:t>
      </w:r>
    </w:p>
    <w:p w14:paraId="5EADC358" w14:textId="7D79FD94" w:rsidR="0030317E" w:rsidRPr="00AD537C" w:rsidRDefault="0030317E" w:rsidP="004A27CB">
      <w:pPr>
        <w:pStyle w:val="ListParagraph"/>
        <w:numPr>
          <w:ilvl w:val="0"/>
          <w:numId w:val="1"/>
        </w:numPr>
      </w:pPr>
      <w:r w:rsidRPr="00AD537C">
        <w:t xml:space="preserve">For each entity mentioned in </w:t>
      </w:r>
      <w:r w:rsidR="00921EE6" w:rsidRPr="00AD537C">
        <w:t>Q</w:t>
      </w:r>
      <w:r w:rsidRPr="00AD537C">
        <w:t xml:space="preserve">uestion 1 under the Tax Character section, for the income year/s in which the </w:t>
      </w:r>
      <w:r w:rsidR="0051296C" w:rsidRPr="00AD537C">
        <w:t>t</w:t>
      </w:r>
      <w:r w:rsidRPr="00AD537C">
        <w:t xml:space="preserve">ransaction </w:t>
      </w:r>
      <w:r w:rsidR="00C60410" w:rsidRPr="00AD537C">
        <w:t xml:space="preserve">is to be undertaken (whether all or any part) </w:t>
      </w:r>
      <w:r w:rsidRPr="00AD537C">
        <w:t>that commence</w:t>
      </w:r>
      <w:r w:rsidR="00C60410" w:rsidRPr="00AD537C">
        <w:t>s</w:t>
      </w:r>
      <w:r w:rsidRPr="00AD537C">
        <w:t xml:space="preserve"> on or after 1 July 2024, </w:t>
      </w:r>
      <w:r w:rsidR="00212858" w:rsidRPr="00AD537C">
        <w:t xml:space="preserve">if the entity has debt deductions in the income year </w:t>
      </w:r>
      <w:r w:rsidRPr="00AD537C">
        <w:t xml:space="preserve">advise whether the entity: </w:t>
      </w:r>
    </w:p>
    <w:p w14:paraId="089C6E7B" w14:textId="7A04E255" w:rsidR="0030317E" w:rsidRPr="00AD537C" w:rsidRDefault="0030317E" w:rsidP="004A27CB">
      <w:pPr>
        <w:pStyle w:val="ListParagraph"/>
        <w:numPr>
          <w:ilvl w:val="1"/>
          <w:numId w:val="13"/>
        </w:numPr>
        <w:ind w:left="720"/>
      </w:pPr>
      <w:r w:rsidRPr="00AD537C">
        <w:t>will be subject to the DDCR in Subdivision 820-EAA of the ITAA 1997</w:t>
      </w:r>
      <w:r w:rsidR="00D51684">
        <w:t>,</w:t>
      </w:r>
    </w:p>
    <w:p w14:paraId="4B2BF616" w14:textId="2611102C" w:rsidR="0030317E" w:rsidRPr="00AD537C" w:rsidRDefault="0030317E" w:rsidP="004A27CB">
      <w:pPr>
        <w:pStyle w:val="ListParagraph"/>
        <w:numPr>
          <w:ilvl w:val="1"/>
          <w:numId w:val="13"/>
        </w:numPr>
        <w:ind w:left="720"/>
      </w:pPr>
      <w:r w:rsidRPr="00AD537C">
        <w:t xml:space="preserve">anticipates </w:t>
      </w:r>
      <w:r w:rsidR="00C40E51" w:rsidRPr="00AD537C">
        <w:t xml:space="preserve">the DDCR applying to </w:t>
      </w:r>
      <w:r w:rsidRPr="00AD537C">
        <w:t>disallow debt deductions arising in relation to pre</w:t>
      </w:r>
      <w:r w:rsidR="009336C3">
        <w:noBreakHyphen/>
      </w:r>
      <w:r w:rsidRPr="00AD537C">
        <w:t xml:space="preserve">existing arrangements </w:t>
      </w:r>
      <w:r w:rsidR="00C40E51" w:rsidRPr="00AD537C">
        <w:t xml:space="preserve">(as </w:t>
      </w:r>
      <w:r w:rsidRPr="00AD537C">
        <w:t>relevant)</w:t>
      </w:r>
      <w:r w:rsidR="009336C3">
        <w:t>,</w:t>
      </w:r>
    </w:p>
    <w:p w14:paraId="4C8EDD1F" w14:textId="2BC350B6" w:rsidR="00FA03BD" w:rsidRDefault="0030317E" w:rsidP="00FA03BD">
      <w:pPr>
        <w:pStyle w:val="ListParagraph"/>
        <w:numPr>
          <w:ilvl w:val="1"/>
          <w:numId w:val="13"/>
        </w:numPr>
        <w:ind w:left="720"/>
      </w:pPr>
      <w:r w:rsidRPr="00AD537C">
        <w:t xml:space="preserve">anticipates acquiring any CGT assets or legal or equitable obligation from an associate pair in connection with the </w:t>
      </w:r>
      <w:r w:rsidR="00D11747" w:rsidRPr="00AD537C">
        <w:t>t</w:t>
      </w:r>
      <w:r w:rsidRPr="00AD537C">
        <w:t>ransaction</w:t>
      </w:r>
      <w:r w:rsidR="00FA03BD">
        <w:t>, and</w:t>
      </w:r>
      <w:r w:rsidRPr="00AD537C">
        <w:t xml:space="preserve"> </w:t>
      </w:r>
    </w:p>
    <w:p w14:paraId="2B1A3B85" w14:textId="60DAFFA9" w:rsidR="000248AE" w:rsidRPr="00AD537C" w:rsidRDefault="0030317E" w:rsidP="00FA03BD">
      <w:pPr>
        <w:pStyle w:val="ListParagraph"/>
        <w:numPr>
          <w:ilvl w:val="1"/>
          <w:numId w:val="13"/>
        </w:numPr>
        <w:ind w:left="720"/>
      </w:pPr>
      <w:r w:rsidRPr="00AD537C">
        <w:t xml:space="preserve">anticipates using a financial arrangement to fund or facilitate the funding of a payment or distribution covered by subsection 820-423A(5A) of the ITAA 1997 in connection with the </w:t>
      </w:r>
      <w:r w:rsidR="00D11747" w:rsidRPr="00AD537C">
        <w:t>t</w:t>
      </w:r>
      <w:r w:rsidRPr="00AD537C">
        <w:t>ransaction</w:t>
      </w:r>
      <w:r w:rsidR="006745FC" w:rsidRPr="00AD537C">
        <w:t>.</w:t>
      </w:r>
      <w:r w:rsidRPr="00AD537C">
        <w:t xml:space="preserve"> </w:t>
      </w:r>
    </w:p>
    <w:p w14:paraId="69358919" w14:textId="77777777" w:rsidR="004A0932" w:rsidRDefault="004A0932">
      <w:pPr>
        <w:spacing w:before="0" w:after="0"/>
        <w:rPr>
          <w:rFonts w:ascii="Calibri" w:eastAsiaTheme="minorEastAsia" w:hAnsi="Calibri" w:cs="Arial"/>
          <w:b/>
          <w:bCs/>
          <w:iCs/>
          <w:color w:val="4D7861" w:themeColor="accent2"/>
          <w:kern w:val="32"/>
          <w:sz w:val="28"/>
          <w:szCs w:val="28"/>
        </w:rPr>
      </w:pPr>
      <w:r>
        <w:rPr>
          <w:rFonts w:eastAsiaTheme="minorEastAsia"/>
          <w:b/>
          <w:bCs/>
          <w:color w:val="4D7861" w:themeColor="accent2"/>
          <w:sz w:val="28"/>
        </w:rPr>
        <w:br w:type="page"/>
      </w:r>
    </w:p>
    <w:p w14:paraId="1A72B94F" w14:textId="6319A0AA" w:rsidR="002261EE" w:rsidRPr="00AD537C" w:rsidRDefault="002261EE" w:rsidP="002261EE">
      <w:pPr>
        <w:pStyle w:val="Heading2"/>
        <w:spacing w:before="320"/>
        <w:rPr>
          <w:rFonts w:eastAsiaTheme="minorEastAsia"/>
          <w:b/>
          <w:bCs/>
          <w:color w:val="4D7861" w:themeColor="accent2"/>
          <w:sz w:val="28"/>
        </w:rPr>
      </w:pPr>
      <w:r w:rsidRPr="00AD537C">
        <w:rPr>
          <w:rFonts w:eastAsiaTheme="minorEastAsia"/>
          <w:b/>
          <w:bCs/>
          <w:color w:val="4D7861" w:themeColor="accent2"/>
          <w:sz w:val="28"/>
        </w:rPr>
        <w:lastRenderedPageBreak/>
        <w:t>Private capital risk</w:t>
      </w:r>
    </w:p>
    <w:p w14:paraId="3E3BC04D" w14:textId="77777777" w:rsidR="002261EE" w:rsidRPr="00AD537C" w:rsidRDefault="002261EE" w:rsidP="002261EE">
      <w:pPr>
        <w:rPr>
          <w:rFonts w:cs="Calibri Light"/>
          <w:iCs/>
          <w:szCs w:val="22"/>
        </w:rPr>
      </w:pPr>
      <w:r w:rsidRPr="00AD537C">
        <w:t xml:space="preserve">This section applies to private equity, venture capital and private capital funds (including infrastructure funds). Where private equity, venture capital and private capital funds (including infrastructure funds) </w:t>
      </w:r>
      <w:r>
        <w:t>are</w:t>
      </w:r>
      <w:r w:rsidRPr="00AD537C">
        <w:t xml:space="preserve"> not expected these questions </w:t>
      </w:r>
      <w:r w:rsidRPr="00AD537C">
        <w:rPr>
          <w:u w:val="single"/>
        </w:rPr>
        <w:t>do not need</w:t>
      </w:r>
      <w:r w:rsidRPr="00AD537C">
        <w:t xml:space="preserve"> to be answered. </w:t>
      </w:r>
    </w:p>
    <w:p w14:paraId="154D1115" w14:textId="77777777" w:rsidR="002261EE" w:rsidRPr="00AD537C" w:rsidRDefault="002261EE" w:rsidP="002261EE">
      <w:pPr>
        <w:pStyle w:val="ListParagraph"/>
        <w:numPr>
          <w:ilvl w:val="0"/>
          <w:numId w:val="1"/>
        </w:numPr>
      </w:pPr>
      <w:r w:rsidRPr="00AD537C">
        <w:t xml:space="preserve">Provide a full and complete ownership structure that includes the details of all entities between the Fund and the Australian assets. </w:t>
      </w:r>
    </w:p>
    <w:p w14:paraId="48951491" w14:textId="77777777" w:rsidR="002261EE" w:rsidRPr="00AD537C" w:rsidRDefault="002261EE" w:rsidP="002261EE">
      <w:pPr>
        <w:pStyle w:val="ListParagraph"/>
        <w:numPr>
          <w:ilvl w:val="0"/>
          <w:numId w:val="1"/>
        </w:numPr>
      </w:pPr>
      <w:r w:rsidRPr="00AD537C">
        <w:t>Provide complete descriptions of the functions, roles, responsibilities and commercial purpose of all interposed entities located between the Fund and the Australian assets.</w:t>
      </w:r>
    </w:p>
    <w:p w14:paraId="1A42D286" w14:textId="77777777" w:rsidR="002261EE" w:rsidRPr="00AD537C" w:rsidRDefault="002261EE" w:rsidP="002261EE">
      <w:pPr>
        <w:pStyle w:val="ListParagraph"/>
        <w:numPr>
          <w:ilvl w:val="0"/>
          <w:numId w:val="1"/>
        </w:numPr>
      </w:pPr>
      <w:r w:rsidRPr="00AD537C">
        <w:t xml:space="preserve">Provide </w:t>
      </w:r>
      <w:proofErr w:type="gramStart"/>
      <w:r w:rsidRPr="00AD537C">
        <w:t>the means by which</w:t>
      </w:r>
      <w:proofErr w:type="gramEnd"/>
      <w:r w:rsidRPr="00AD537C">
        <w:t xml:space="preserve"> the interposed entities carry out (or will carry out) their functions, roles and responsibilities (i.e. via directors, salaried employees, contracted service providers etc.) and their locations. </w:t>
      </w:r>
    </w:p>
    <w:p w14:paraId="10931BF9" w14:textId="47711039" w:rsidR="002261EE" w:rsidRPr="00AD537C" w:rsidRDefault="002261EE" w:rsidP="002261EE">
      <w:pPr>
        <w:pStyle w:val="ListParagraph"/>
        <w:numPr>
          <w:ilvl w:val="0"/>
          <w:numId w:val="1"/>
        </w:numPr>
      </w:pPr>
      <w:r w:rsidRPr="00AD537C">
        <w:t xml:space="preserve">Does the Fund / Firm have a presence or office in Australia? If yes, provide details. </w:t>
      </w:r>
    </w:p>
    <w:p w14:paraId="76A4E942" w14:textId="77777777" w:rsidR="002261EE" w:rsidRPr="00AD537C" w:rsidRDefault="002261EE" w:rsidP="002261EE">
      <w:pPr>
        <w:pStyle w:val="ListParagraph"/>
        <w:numPr>
          <w:ilvl w:val="0"/>
          <w:numId w:val="1"/>
        </w:numPr>
      </w:pPr>
      <w:r w:rsidRPr="00AD537C">
        <w:t>Will a partner, director, employee, or other delegate of the Firm / Fund be appointed to the Board, management or other key role of any Australian entities in connection with the transaction? If yes, provide details.</w:t>
      </w:r>
    </w:p>
    <w:p w14:paraId="2F9585F5" w14:textId="77777777" w:rsidR="002261EE" w:rsidRPr="00AD537C" w:rsidRDefault="002261EE" w:rsidP="002261EE">
      <w:pPr>
        <w:pStyle w:val="Heading2"/>
        <w:rPr>
          <w:rFonts w:eastAsiaTheme="minorEastAsia"/>
          <w:b/>
          <w:bCs/>
          <w:color w:val="4D7861" w:themeColor="accent2"/>
          <w:sz w:val="28"/>
        </w:rPr>
      </w:pPr>
      <w:r w:rsidRPr="00AD537C">
        <w:rPr>
          <w:rFonts w:eastAsiaTheme="minorEastAsia"/>
          <w:b/>
          <w:bCs/>
          <w:color w:val="4D7861" w:themeColor="accent2"/>
          <w:sz w:val="28"/>
        </w:rPr>
        <w:t>Intangibles Migration</w:t>
      </w:r>
    </w:p>
    <w:p w14:paraId="1640E0F2" w14:textId="77777777" w:rsidR="002261EE" w:rsidRPr="00AD537C" w:rsidRDefault="002261EE" w:rsidP="002261EE">
      <w:pPr>
        <w:rPr>
          <w:rFonts w:eastAsiaTheme="minorEastAsia"/>
        </w:rPr>
      </w:pPr>
      <w:r w:rsidRPr="00AD537C">
        <w:t xml:space="preserve">This section applies to target entities with intangibles. Where a target entity does not have intangibles, these questions </w:t>
      </w:r>
      <w:r w:rsidRPr="00AD537C">
        <w:rPr>
          <w:u w:val="single"/>
        </w:rPr>
        <w:t>do not need</w:t>
      </w:r>
      <w:r w:rsidRPr="00AD537C">
        <w:t xml:space="preserve"> to be answered.</w:t>
      </w:r>
    </w:p>
    <w:p w14:paraId="52026EB1" w14:textId="77777777" w:rsidR="002261EE" w:rsidRPr="00AD537C" w:rsidRDefault="002261EE" w:rsidP="002261EE">
      <w:pPr>
        <w:pStyle w:val="ListParagraph"/>
        <w:numPr>
          <w:ilvl w:val="0"/>
          <w:numId w:val="1"/>
        </w:numPr>
      </w:pPr>
      <w:r w:rsidRPr="00AD537C">
        <w:t xml:space="preserve">Provide details of each planned, proposed or anticipated arrangement to transfer, create or assign rights, or otherwise make available any intangible assets from Australia to offshore related parties in connection with the Proposed Transaction, including: </w:t>
      </w:r>
    </w:p>
    <w:p w14:paraId="425D60C8" w14:textId="77A63070" w:rsidR="002261EE" w:rsidRPr="00AD537C" w:rsidRDefault="002261EE" w:rsidP="002261EE">
      <w:pPr>
        <w:pStyle w:val="ListParagraph"/>
        <w:numPr>
          <w:ilvl w:val="0"/>
          <w:numId w:val="23"/>
        </w:numPr>
      </w:pPr>
      <w:r w:rsidRPr="00AD537C">
        <w:t>details of the arrangement(s), including the names and tax residency of the entities involved and a step plan where applicable</w:t>
      </w:r>
      <w:r w:rsidR="004B39E6">
        <w:t>,</w:t>
      </w:r>
      <w:r w:rsidRPr="00AD537C">
        <w:t xml:space="preserve"> </w:t>
      </w:r>
    </w:p>
    <w:p w14:paraId="1356A264" w14:textId="3D9D2B54" w:rsidR="002261EE" w:rsidRPr="00AD537C" w:rsidRDefault="002261EE" w:rsidP="002261EE">
      <w:pPr>
        <w:pStyle w:val="ListParagraph"/>
        <w:numPr>
          <w:ilvl w:val="0"/>
          <w:numId w:val="23"/>
        </w:numPr>
      </w:pPr>
      <w:r w:rsidRPr="00AD537C">
        <w:t>all commercial and non-tax reasons for the proposed arrangement(s)</w:t>
      </w:r>
      <w:r w:rsidR="004B39E6">
        <w:t>, and</w:t>
      </w:r>
      <w:r w:rsidRPr="00AD537C">
        <w:t xml:space="preserve"> </w:t>
      </w:r>
    </w:p>
    <w:p w14:paraId="7DA07F9C" w14:textId="77777777" w:rsidR="002261EE" w:rsidRPr="00AD537C" w:rsidRDefault="002261EE" w:rsidP="002261EE">
      <w:pPr>
        <w:pStyle w:val="ListParagraph"/>
        <w:numPr>
          <w:ilvl w:val="0"/>
          <w:numId w:val="23"/>
        </w:numPr>
      </w:pPr>
      <w:r w:rsidRPr="00AD537C">
        <w:t>details of the anticipated Australian and foreign tax outcomes in connection with the arrangement(s).</w:t>
      </w:r>
    </w:p>
    <w:p w14:paraId="114C8719" w14:textId="379F6D6C" w:rsidR="002261EE" w:rsidRPr="00AD537C" w:rsidRDefault="002261EE" w:rsidP="002261EE">
      <w:pPr>
        <w:pStyle w:val="ListParagraph"/>
        <w:numPr>
          <w:ilvl w:val="0"/>
          <w:numId w:val="1"/>
        </w:numPr>
      </w:pPr>
      <w:r w:rsidRPr="00AD537C">
        <w:t xml:space="preserve">Provide details of all planned, proposed or anticipated changes to the activities, assets and risks of the Australian Target </w:t>
      </w:r>
      <w:r w:rsidR="00DD0E43">
        <w:t>(</w:t>
      </w:r>
      <w:r w:rsidRPr="00AD537C">
        <w:t>or the Australian economic group</w:t>
      </w:r>
      <w:r w:rsidR="00DD0E43">
        <w:t>)</w:t>
      </w:r>
      <w:r w:rsidRPr="00AD537C">
        <w:t xml:space="preserve"> relating to the development, enhancement, maintenance, protection or exploitation of intangible assets in connection with the Proposed Transaction.</w:t>
      </w:r>
    </w:p>
    <w:p w14:paraId="69345C10" w14:textId="77777777" w:rsidR="008733D2" w:rsidRDefault="008733D2">
      <w:pPr>
        <w:spacing w:before="0" w:after="0"/>
        <w:rPr>
          <w:rFonts w:ascii="Calibri" w:eastAsiaTheme="minorEastAsia" w:hAnsi="Calibri" w:cs="Arial"/>
          <w:b/>
          <w:bCs/>
          <w:iCs/>
          <w:color w:val="4D7861" w:themeColor="accent2"/>
          <w:kern w:val="32"/>
          <w:sz w:val="28"/>
          <w:szCs w:val="28"/>
        </w:rPr>
      </w:pPr>
      <w:r>
        <w:rPr>
          <w:rFonts w:eastAsiaTheme="minorEastAsia"/>
          <w:b/>
          <w:bCs/>
          <w:color w:val="4D7861" w:themeColor="accent2"/>
          <w:sz w:val="28"/>
        </w:rPr>
        <w:br w:type="page"/>
      </w:r>
    </w:p>
    <w:p w14:paraId="3FE794A3" w14:textId="40FDF1DC" w:rsidR="002261EE" w:rsidRPr="00AD537C" w:rsidRDefault="002261EE" w:rsidP="002261EE">
      <w:pPr>
        <w:pStyle w:val="Heading2"/>
        <w:spacing w:before="320"/>
        <w:rPr>
          <w:rFonts w:eastAsiaTheme="minorEastAsia"/>
          <w:b/>
          <w:bCs/>
          <w:color w:val="4D7861" w:themeColor="accent2"/>
          <w:sz w:val="28"/>
        </w:rPr>
      </w:pPr>
      <w:r w:rsidRPr="00AD537C">
        <w:rPr>
          <w:rFonts w:eastAsiaTheme="minorEastAsia"/>
          <w:b/>
          <w:bCs/>
          <w:color w:val="4D7861" w:themeColor="accent2"/>
          <w:sz w:val="28"/>
        </w:rPr>
        <w:lastRenderedPageBreak/>
        <w:t>Non-concessional Managed Investment Trust (MIT) income</w:t>
      </w:r>
    </w:p>
    <w:p w14:paraId="323E00CA" w14:textId="77777777" w:rsidR="002261EE" w:rsidRPr="00AD537C" w:rsidRDefault="002261EE" w:rsidP="002261EE">
      <w:r w:rsidRPr="00AD537C">
        <w:t xml:space="preserve">This section applies to stapled groups and other groups with an asset entity and an operating entity under some degree of common ownership (not including where those entities are both members of a tax consolidated group). </w:t>
      </w:r>
    </w:p>
    <w:p w14:paraId="0FB11B7B" w14:textId="77777777" w:rsidR="002261EE" w:rsidRPr="00AD537C" w:rsidRDefault="002261EE" w:rsidP="002261EE">
      <w:pPr>
        <w:pStyle w:val="Bullet"/>
      </w:pPr>
      <w:r w:rsidRPr="00AD537C">
        <w:t>To the extent there are dealings (e.g., cross-staple lease, cross-staple loan) between the operating entity and the asset entity answer the following questions:</w:t>
      </w:r>
    </w:p>
    <w:p w14:paraId="1877E5D9" w14:textId="77777777" w:rsidR="002261EE" w:rsidRPr="00AD537C" w:rsidRDefault="002261EE" w:rsidP="002261EE">
      <w:pPr>
        <w:pStyle w:val="ListParagraph"/>
        <w:numPr>
          <w:ilvl w:val="0"/>
          <w:numId w:val="1"/>
        </w:numPr>
      </w:pPr>
      <w:r w:rsidRPr="00AD537C">
        <w:t>Identify and describe the key features of those dealings, including:</w:t>
      </w:r>
    </w:p>
    <w:p w14:paraId="4AB97718" w14:textId="7A359721" w:rsidR="002261EE" w:rsidRPr="00AD537C" w:rsidRDefault="002261EE" w:rsidP="002261EE">
      <w:pPr>
        <w:pStyle w:val="ListParagraph"/>
        <w:numPr>
          <w:ilvl w:val="0"/>
          <w:numId w:val="24"/>
        </w:numPr>
      </w:pPr>
      <w:r w:rsidRPr="00AD537C">
        <w:t>nature of the dealing</w:t>
      </w:r>
      <w:r w:rsidR="007970AB">
        <w:t>,</w:t>
      </w:r>
    </w:p>
    <w:p w14:paraId="481AB593" w14:textId="74F3D774" w:rsidR="002261EE" w:rsidRPr="00AD537C" w:rsidRDefault="002261EE" w:rsidP="002261EE">
      <w:pPr>
        <w:pStyle w:val="ListParagraph"/>
        <w:numPr>
          <w:ilvl w:val="0"/>
          <w:numId w:val="24"/>
        </w:numPr>
      </w:pPr>
      <w:r w:rsidRPr="00AD537C">
        <w:t>how the dealing came about</w:t>
      </w:r>
      <w:r w:rsidR="007970AB">
        <w:t>,</w:t>
      </w:r>
    </w:p>
    <w:p w14:paraId="43B4AAC9" w14:textId="499D70C1" w:rsidR="002261EE" w:rsidRPr="00AD537C" w:rsidRDefault="002261EE" w:rsidP="002261EE">
      <w:pPr>
        <w:pStyle w:val="ListParagraph"/>
        <w:numPr>
          <w:ilvl w:val="0"/>
          <w:numId w:val="24"/>
        </w:numPr>
      </w:pPr>
      <w:r w:rsidRPr="00AD537C">
        <w:t>why the dealing is necessary</w:t>
      </w:r>
      <w:r w:rsidR="007970AB">
        <w:t>,</w:t>
      </w:r>
      <w:r w:rsidRPr="00AD537C">
        <w:t xml:space="preserve"> </w:t>
      </w:r>
    </w:p>
    <w:p w14:paraId="0508A775" w14:textId="37FB8071" w:rsidR="002261EE" w:rsidRPr="00AD537C" w:rsidRDefault="002261EE" w:rsidP="002261EE">
      <w:pPr>
        <w:pStyle w:val="ListParagraph"/>
        <w:numPr>
          <w:ilvl w:val="0"/>
          <w:numId w:val="24"/>
        </w:numPr>
      </w:pPr>
      <w:r w:rsidRPr="00AD537C">
        <w:t>if the dealing is already in existence and the date at which it was entered</w:t>
      </w:r>
      <w:r w:rsidR="007970AB">
        <w:t>,</w:t>
      </w:r>
    </w:p>
    <w:p w14:paraId="380CDD17" w14:textId="467B5135" w:rsidR="002261EE" w:rsidRPr="00AD537C" w:rsidRDefault="002261EE" w:rsidP="002261EE">
      <w:pPr>
        <w:pStyle w:val="ListParagraph"/>
        <w:numPr>
          <w:ilvl w:val="0"/>
          <w:numId w:val="24"/>
        </w:numPr>
      </w:pPr>
      <w:r w:rsidRPr="00AD537C">
        <w:t>arm’s length pricing mechanism used/to be used</w:t>
      </w:r>
      <w:r w:rsidR="007970AB">
        <w:t>,</w:t>
      </w:r>
      <w:r w:rsidRPr="00AD537C">
        <w:t xml:space="preserve"> and</w:t>
      </w:r>
    </w:p>
    <w:p w14:paraId="608A8DED" w14:textId="77777777" w:rsidR="002261EE" w:rsidRPr="00AD537C" w:rsidRDefault="002261EE" w:rsidP="002261EE">
      <w:pPr>
        <w:pStyle w:val="ListParagraph"/>
        <w:numPr>
          <w:ilvl w:val="0"/>
          <w:numId w:val="24"/>
        </w:numPr>
      </w:pPr>
      <w:r w:rsidRPr="00AD537C">
        <w:t>forecast of income/pricing of the dealing (both quantum and methodology).</w:t>
      </w:r>
    </w:p>
    <w:p w14:paraId="3E739D62" w14:textId="77777777" w:rsidR="002261EE" w:rsidRPr="00AD537C" w:rsidRDefault="002261EE" w:rsidP="002261EE">
      <w:pPr>
        <w:pStyle w:val="ListParagraph"/>
        <w:numPr>
          <w:ilvl w:val="0"/>
          <w:numId w:val="1"/>
        </w:numPr>
      </w:pPr>
      <w:r w:rsidRPr="00AD537C">
        <w:t xml:space="preserve">If there is a cross-staple loan between the asset holding side and the operating side of the stapled structure, advise whether the cross-staple loan is entered into or proposed to be entered into on back-to-back terms with the group’s external loan arrangement(s). Otherwise explain how the terms of the cross-staple loan are determined and priced to be arm’s length. </w:t>
      </w:r>
    </w:p>
    <w:p w14:paraId="74697BBC" w14:textId="77777777" w:rsidR="002261EE" w:rsidRPr="00AD537C" w:rsidRDefault="002261EE" w:rsidP="002261EE">
      <w:pPr>
        <w:pStyle w:val="ListParagraph"/>
        <w:numPr>
          <w:ilvl w:val="0"/>
          <w:numId w:val="1"/>
        </w:numPr>
      </w:pPr>
      <w:r w:rsidRPr="00AD537C">
        <w:t>Review Taxpayer Alert 2017/1 Re-characterisation of income from trading businesses and advise:</w:t>
      </w:r>
    </w:p>
    <w:p w14:paraId="0DBCD1E9" w14:textId="03E73626" w:rsidR="002261EE" w:rsidRPr="00AD537C" w:rsidRDefault="002261EE" w:rsidP="002261EE">
      <w:pPr>
        <w:pStyle w:val="ListParagraph"/>
        <w:numPr>
          <w:ilvl w:val="0"/>
          <w:numId w:val="17"/>
        </w:numPr>
        <w:spacing w:after="0" w:line="276" w:lineRule="auto"/>
      </w:pPr>
      <w:r w:rsidRPr="00AD537C">
        <w:t xml:space="preserve">if any of the dealings may </w:t>
      </w:r>
      <w:proofErr w:type="gramStart"/>
      <w:r w:rsidRPr="00AD537C">
        <w:t>be in the nature of, or</w:t>
      </w:r>
      <w:proofErr w:type="gramEnd"/>
      <w:r w:rsidRPr="00AD537C">
        <w:t xml:space="preserve"> similar to, any of the examples described in that Alert</w:t>
      </w:r>
      <w:r w:rsidR="00CD1B61">
        <w:t>,</w:t>
      </w:r>
      <w:r w:rsidRPr="00AD537C">
        <w:t xml:space="preserve"> and</w:t>
      </w:r>
    </w:p>
    <w:p w14:paraId="1FCD9FCE" w14:textId="77777777" w:rsidR="002261EE" w:rsidRPr="00AD537C" w:rsidRDefault="002261EE" w:rsidP="002261EE">
      <w:pPr>
        <w:pStyle w:val="ListParagraph"/>
        <w:numPr>
          <w:ilvl w:val="0"/>
          <w:numId w:val="17"/>
        </w:numPr>
        <w:spacing w:line="276" w:lineRule="auto"/>
      </w:pPr>
      <w:r w:rsidRPr="00AD537C">
        <w:t>your reasons for the above assessment.</w:t>
      </w:r>
    </w:p>
    <w:p w14:paraId="2E78523E" w14:textId="581505C0" w:rsidR="002261EE" w:rsidRPr="00AD537C" w:rsidRDefault="002261EE" w:rsidP="002261EE">
      <w:pPr>
        <w:pStyle w:val="ListParagraph"/>
        <w:numPr>
          <w:ilvl w:val="0"/>
          <w:numId w:val="1"/>
        </w:numPr>
      </w:pPr>
      <w:r w:rsidRPr="00AD537C">
        <w:t>Advise whether any entities in the holding structure will be in receipt of non</w:t>
      </w:r>
      <w:r w:rsidRPr="00AD537C">
        <w:noBreakHyphen/>
        <w:t xml:space="preserve">concessional MIT income, as defined in section 12-435 of Schedule 1 to the </w:t>
      </w:r>
      <w:r w:rsidRPr="00AD537C">
        <w:rPr>
          <w:i/>
          <w:iCs/>
        </w:rPr>
        <w:t>Taxation Administration Act 1953</w:t>
      </w:r>
      <w:r w:rsidR="00CD1B61">
        <w:t xml:space="preserve"> (</w:t>
      </w:r>
      <w:proofErr w:type="spellStart"/>
      <w:r w:rsidR="00CD1B61">
        <w:t>Cth</w:t>
      </w:r>
      <w:proofErr w:type="spellEnd"/>
      <w:r w:rsidR="00CD1B61">
        <w:t>) (</w:t>
      </w:r>
      <w:r w:rsidR="00CD1B61" w:rsidRPr="00CD1B61">
        <w:rPr>
          <w:b/>
          <w:bCs/>
        </w:rPr>
        <w:t>TAA 1953</w:t>
      </w:r>
      <w:r w:rsidR="00CD1B61">
        <w:t>)</w:t>
      </w:r>
      <w:r w:rsidRPr="00AD537C">
        <w:t xml:space="preserve">. Irrespective of the answer, provide an explanation with reference to the relevant section of Schedule 1 to the </w:t>
      </w:r>
      <w:r w:rsidR="00CD1B61">
        <w:t>TAA</w:t>
      </w:r>
      <w:r w:rsidRPr="00AD537C">
        <w:t xml:space="preserve"> 1953. For further assistance refer to Law Companion Ruling LCR 2020/2 Non</w:t>
      </w:r>
      <w:r w:rsidRPr="00AD537C">
        <w:noBreakHyphen/>
        <w:t>concessional MIT income.</w:t>
      </w:r>
    </w:p>
    <w:p w14:paraId="1F6A3953" w14:textId="3B4FC400" w:rsidR="352B0898" w:rsidRPr="00AD537C" w:rsidRDefault="00BB0291" w:rsidP="002E30FF">
      <w:pPr>
        <w:pStyle w:val="Heading3"/>
      </w:pPr>
      <w:r w:rsidRPr="00AD537C">
        <w:t>Hybrid mismatches</w:t>
      </w:r>
      <w:r w:rsidR="00E36B5C" w:rsidRPr="00AD537C">
        <w:t xml:space="preserve"> </w:t>
      </w:r>
    </w:p>
    <w:p w14:paraId="4BFF3059" w14:textId="3A08FBC5" w:rsidR="00F00E23" w:rsidRPr="00AD537C" w:rsidRDefault="106E22C0" w:rsidP="004A27CB">
      <w:pPr>
        <w:pStyle w:val="ListParagraph"/>
        <w:numPr>
          <w:ilvl w:val="0"/>
          <w:numId w:val="1"/>
        </w:numPr>
      </w:pPr>
      <w:bookmarkStart w:id="5" w:name="_Hlk158821742"/>
      <w:bookmarkStart w:id="6" w:name="_Hlk56078599"/>
      <w:r w:rsidRPr="00AD537C">
        <w:t>Confirm if any Australian entities of the acquiring group are (or will be post</w:t>
      </w:r>
      <w:r w:rsidR="003F1525" w:rsidRPr="00AD537C">
        <w:t> </w:t>
      </w:r>
      <w:r w:rsidRPr="00AD537C">
        <w:t xml:space="preserve">transaction) parties to a hybrid arrangement giving rise to a hybrid mismatch under Division 832 of the ITAA 1997 (including the imported mismatch rule). </w:t>
      </w:r>
    </w:p>
    <w:p w14:paraId="00DD2838" w14:textId="0FABA239" w:rsidR="00BB0291" w:rsidRPr="00AD537C" w:rsidRDefault="1D41F6C5" w:rsidP="004A27CB">
      <w:pPr>
        <w:pStyle w:val="ListParagraph"/>
        <w:numPr>
          <w:ilvl w:val="0"/>
          <w:numId w:val="16"/>
        </w:numPr>
      </w:pPr>
      <w:bookmarkStart w:id="7" w:name="_Hlk158821790"/>
      <w:bookmarkEnd w:id="5"/>
      <w:r w:rsidRPr="00AD537C">
        <w:t xml:space="preserve">Where you have identified a hybrid mismatch arrangement, provide details of the nature of the arrangement and outline how Division 832 of the ITAA 1997 has been </w:t>
      </w:r>
      <w:r w:rsidR="007573C5" w:rsidRPr="00AD537C">
        <w:t>applied</w:t>
      </w:r>
      <w:r w:rsidRPr="00AD537C">
        <w:t xml:space="preserve">. </w:t>
      </w:r>
    </w:p>
    <w:p w14:paraId="32C3E74C" w14:textId="467B0D51" w:rsidR="000E2EBA" w:rsidRPr="00AD537C" w:rsidRDefault="007573C5" w:rsidP="004A27CB">
      <w:pPr>
        <w:pStyle w:val="ListParagraph"/>
        <w:numPr>
          <w:ilvl w:val="0"/>
          <w:numId w:val="16"/>
        </w:numPr>
      </w:pPr>
      <w:r w:rsidRPr="00AD537C">
        <w:t xml:space="preserve">If </w:t>
      </w:r>
      <w:r w:rsidR="1D41F6C5" w:rsidRPr="00AD537C">
        <w:t>a hybrid mismatch exists but the rules have not denied a deduction or included an amount of income, provide reasoning for this.</w:t>
      </w:r>
    </w:p>
    <w:p w14:paraId="4C2BD3C0" w14:textId="00BC6B79" w:rsidR="00E720B5" w:rsidRPr="00AD537C" w:rsidRDefault="00E720B5" w:rsidP="004A27CB">
      <w:pPr>
        <w:pStyle w:val="ListParagraph"/>
        <w:numPr>
          <w:ilvl w:val="0"/>
          <w:numId w:val="1"/>
        </w:numPr>
      </w:pPr>
      <w:bookmarkStart w:id="8" w:name="_Hlk158821800"/>
      <w:bookmarkEnd w:id="7"/>
      <w:r w:rsidRPr="00AD537C">
        <w:t>For US-headquartered groups, provide details of the classification of the relevant US and non</w:t>
      </w:r>
      <w:r w:rsidRPr="00AD537C">
        <w:noBreakHyphen/>
        <w:t>US tax resident entities under the US check-the-box regulations. Alternatively, provide an organisational entity chart with applicable US check the box elections depicted.</w:t>
      </w:r>
    </w:p>
    <w:bookmarkEnd w:id="6"/>
    <w:bookmarkEnd w:id="8"/>
    <w:p w14:paraId="07844D34" w14:textId="77777777" w:rsidR="00F00E23" w:rsidRPr="00C31E5A" w:rsidRDefault="00F00E23" w:rsidP="00F00E23"/>
    <w:p w14:paraId="1EC1AFE8" w14:textId="392EE3EB" w:rsidR="76B4AB2D" w:rsidRPr="00C31E5A" w:rsidRDefault="76B4AB2D" w:rsidP="001C4BFB"/>
    <w:sectPr w:rsidR="76B4AB2D" w:rsidRPr="00C31E5A"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271F" w14:textId="77777777" w:rsidR="00B60DFD" w:rsidRDefault="00B60DFD" w:rsidP="00886BC4">
      <w:r>
        <w:separator/>
      </w:r>
    </w:p>
    <w:p w14:paraId="0F2394F9" w14:textId="77777777" w:rsidR="00B60DFD" w:rsidRDefault="00B60DFD"/>
  </w:endnote>
  <w:endnote w:type="continuationSeparator" w:id="0">
    <w:p w14:paraId="7F3FA81E" w14:textId="77777777" w:rsidR="00B60DFD" w:rsidRDefault="00B60DFD" w:rsidP="00886BC4">
      <w:r>
        <w:continuationSeparator/>
      </w:r>
    </w:p>
    <w:p w14:paraId="482184ED" w14:textId="77777777" w:rsidR="00B60DFD" w:rsidRDefault="00B60DFD"/>
  </w:endnote>
  <w:endnote w:type="continuationNotice" w:id="1">
    <w:p w14:paraId="09579334" w14:textId="77777777" w:rsidR="00B60DFD" w:rsidRDefault="00B6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6409D91B" w:rsidR="00A15DB7" w:rsidRPr="00E81A92" w:rsidRDefault="0074444A" w:rsidP="0074444A">
    <w:pPr>
      <w:pStyle w:val="Footer"/>
      <w:tabs>
        <w:tab w:val="clear" w:pos="4320"/>
      </w:tabs>
      <w:jc w:val="right"/>
    </w:pPr>
    <w:r w:rsidRPr="00AC3B66">
      <w:rPr>
        <w:noProof/>
        <w:position w:val="-10"/>
      </w:rPr>
      <w:drawing>
        <wp:inline distT="0" distB="0" distL="0" distR="0" wp14:anchorId="4AE6B5AD" wp14:editId="0FD48C1C">
          <wp:extent cx="21780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B16202">
      <w:t xml:space="preserve">Version </w:t>
    </w:r>
    <w:r w:rsidR="00C401E0">
      <w:t>2</w:t>
    </w:r>
    <w:r w:rsidR="00B16202">
      <w:t xml:space="preserve"> (</w:t>
    </w:r>
    <w:r w:rsidR="00FD47DC">
      <w:t>14</w:t>
    </w:r>
    <w:r w:rsidR="00C327A4">
      <w:t xml:space="preserve"> March </w:t>
    </w:r>
    <w:r w:rsidR="002B321E">
      <w:t>202</w:t>
    </w:r>
    <w:r w:rsidR="00376865">
      <w:t>5</w:t>
    </w:r>
    <w:r w:rsidR="00B16202">
      <w:t>)</w:t>
    </w:r>
    <w:r w:rsidR="00E81A92">
      <w:t xml:space="preserve"> |</w:t>
    </w:r>
    <w:r w:rsidR="00C41E2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50AC6D37" w:rsidR="00300C95" w:rsidRPr="00E81A92" w:rsidRDefault="004A10DF" w:rsidP="00BA123B">
    <w:pPr>
      <w:pStyle w:val="Footer"/>
      <w:tabs>
        <w:tab w:val="clear" w:pos="4320"/>
        <w:tab w:val="clear" w:pos="8640"/>
        <w:tab w:val="center" w:pos="7938"/>
      </w:tabs>
      <w:jc w:val="right"/>
    </w:pPr>
    <w:r w:rsidRPr="00AC3B66">
      <w:rPr>
        <w:noProof/>
        <w:position w:val="-10"/>
      </w:rPr>
      <w:drawing>
        <wp:inline distT="0" distB="0" distL="0" distR="0" wp14:anchorId="241B64EE" wp14:editId="5B14AB40">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B16202">
      <w:t xml:space="preserve">Version </w:t>
    </w:r>
    <w:r w:rsidR="004221D2">
      <w:t>2</w:t>
    </w:r>
    <w:r w:rsidR="00B16202">
      <w:t xml:space="preserve"> (</w:t>
    </w:r>
    <w:r w:rsidR="00FD47DC">
      <w:t>14</w:t>
    </w:r>
    <w:r w:rsidR="00C327A4">
      <w:t xml:space="preserve"> March</w:t>
    </w:r>
    <w:r w:rsidR="002B321E">
      <w:t xml:space="preserve"> 202</w:t>
    </w:r>
    <w:r w:rsidR="00376865">
      <w:t>5</w:t>
    </w:r>
    <w:r w:rsidR="00B16202">
      <w:t>)</w:t>
    </w:r>
    <w:r w:rsidR="00E81A92">
      <w:t xml:space="preserve"> |</w:t>
    </w:r>
    <w:r w:rsidR="00C41E2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DA8E" w14:textId="77777777" w:rsidR="00B60DFD" w:rsidRDefault="00B60DFD" w:rsidP="00886BC4">
      <w:r>
        <w:separator/>
      </w:r>
    </w:p>
    <w:p w14:paraId="591F5A78" w14:textId="77777777" w:rsidR="00B60DFD" w:rsidRDefault="00B60DFD"/>
  </w:footnote>
  <w:footnote w:type="continuationSeparator" w:id="0">
    <w:p w14:paraId="4D32682D" w14:textId="77777777" w:rsidR="00B60DFD" w:rsidRDefault="00B60DFD" w:rsidP="00886BC4">
      <w:r>
        <w:continuationSeparator/>
      </w:r>
    </w:p>
    <w:p w14:paraId="21D377CB" w14:textId="77777777" w:rsidR="00B60DFD" w:rsidRDefault="00B60DFD"/>
  </w:footnote>
  <w:footnote w:type="continuationNotice" w:id="1">
    <w:p w14:paraId="5742CE1E" w14:textId="77777777" w:rsidR="00B60DFD" w:rsidRDefault="00B6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3364C3C7" w:rsidR="006D3EE7" w:rsidRPr="007F53C0" w:rsidRDefault="00FC2E34" w:rsidP="007F53C0">
    <w:pPr>
      <w:pStyle w:val="Header"/>
    </w:pPr>
    <w:r>
      <w:rPr>
        <w:noProof/>
      </w:rPr>
      <w:drawing>
        <wp:anchor distT="0" distB="0" distL="114300" distR="114300" simplePos="0" relativeHeight="251660298"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sidR="00DA137E"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3EC5F637" w:rsidR="00300C95" w:rsidRDefault="00300C95">
    <w:pPr>
      <w:pStyle w:val="Header"/>
    </w:pPr>
    <w:r>
      <w:rPr>
        <w:noProof/>
      </w:rPr>
      <w:drawing>
        <wp:anchor distT="0" distB="0" distL="114300" distR="114300" simplePos="0" relativeHeight="251658240" behindDoc="1" locked="0" layoutInCell="1" allowOverlap="0" wp14:anchorId="7F1642FC" wp14:editId="3AAD93FB">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0A1"/>
    <w:multiLevelType w:val="hybridMultilevel"/>
    <w:tmpl w:val="E3AA8A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7F87797"/>
    <w:multiLevelType w:val="hybridMultilevel"/>
    <w:tmpl w:val="E12E32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653A4"/>
    <w:multiLevelType w:val="hybridMultilevel"/>
    <w:tmpl w:val="14AA183A"/>
    <w:lvl w:ilvl="0" w:tplc="FFFFFFFF">
      <w:start w:val="1"/>
      <w:numFmt w:val="lowerLetter"/>
      <w:lvlText w:val="%1."/>
      <w:lvlJc w:val="left"/>
      <w:pPr>
        <w:ind w:left="72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15:restartNumberingAfterBreak="0">
    <w:nsid w:val="08B0667F"/>
    <w:multiLevelType w:val="hybridMultilevel"/>
    <w:tmpl w:val="A532FAEC"/>
    <w:lvl w:ilvl="0" w:tplc="0C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13DA2"/>
    <w:multiLevelType w:val="hybridMultilevel"/>
    <w:tmpl w:val="E3AA8A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8" w15:restartNumberingAfterBreak="0">
    <w:nsid w:val="1B955452"/>
    <w:multiLevelType w:val="hybridMultilevel"/>
    <w:tmpl w:val="1680AF2C"/>
    <w:lvl w:ilvl="0" w:tplc="FFFFFFFF">
      <w:start w:val="1"/>
      <w:numFmt w:val="lowerLetter"/>
      <w:lvlText w:val="%1."/>
      <w:lvlJc w:val="left"/>
      <w:pPr>
        <w:ind w:left="72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1CD43507"/>
    <w:multiLevelType w:val="hybridMultilevel"/>
    <w:tmpl w:val="E12E32CA"/>
    <w:lvl w:ilvl="0" w:tplc="FFFFFFFF">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DE2D3B"/>
    <w:multiLevelType w:val="hybridMultilevel"/>
    <w:tmpl w:val="E12E32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5F00F5"/>
    <w:multiLevelType w:val="hybridMultilevel"/>
    <w:tmpl w:val="CC546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62730A"/>
    <w:multiLevelType w:val="hybridMultilevel"/>
    <w:tmpl w:val="041E62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EDD2B54"/>
    <w:multiLevelType w:val="hybridMultilevel"/>
    <w:tmpl w:val="14AA183A"/>
    <w:lvl w:ilvl="0" w:tplc="FFFFFFFF">
      <w:start w:val="1"/>
      <w:numFmt w:val="lowerLetter"/>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36D07"/>
    <w:multiLevelType w:val="hybridMultilevel"/>
    <w:tmpl w:val="CB12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9D5076"/>
    <w:multiLevelType w:val="hybridMultilevel"/>
    <w:tmpl w:val="D0DC35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1500C5E"/>
    <w:multiLevelType w:val="hybridMultilevel"/>
    <w:tmpl w:val="D4D6CAB6"/>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84E3865"/>
    <w:multiLevelType w:val="hybridMultilevel"/>
    <w:tmpl w:val="14AA183A"/>
    <w:lvl w:ilvl="0" w:tplc="FFFFFFFF">
      <w:start w:val="1"/>
      <w:numFmt w:val="lowerLetter"/>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691A5CE2"/>
    <w:multiLevelType w:val="hybridMultilevel"/>
    <w:tmpl w:val="E3AA8A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D79148E"/>
    <w:multiLevelType w:val="hybridMultilevel"/>
    <w:tmpl w:val="E3AA8A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32BD7F"/>
    <w:multiLevelType w:val="hybridMultilevel"/>
    <w:tmpl w:val="DE4A7D2A"/>
    <w:lvl w:ilvl="0" w:tplc="330E09D8">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5FA47D18">
      <w:start w:val="1"/>
      <w:numFmt w:val="lowerRoman"/>
      <w:lvlText w:val="%3."/>
      <w:lvlJc w:val="right"/>
      <w:pPr>
        <w:ind w:left="1800" w:hanging="180"/>
      </w:pPr>
    </w:lvl>
    <w:lvl w:ilvl="3" w:tplc="70D0784A">
      <w:start w:val="1"/>
      <w:numFmt w:val="decimal"/>
      <w:lvlText w:val="%4."/>
      <w:lvlJc w:val="left"/>
      <w:pPr>
        <w:ind w:left="2520" w:hanging="360"/>
      </w:pPr>
    </w:lvl>
    <w:lvl w:ilvl="4" w:tplc="21DAF6C6">
      <w:start w:val="1"/>
      <w:numFmt w:val="lowerLetter"/>
      <w:lvlText w:val="%5."/>
      <w:lvlJc w:val="left"/>
      <w:pPr>
        <w:ind w:left="3240" w:hanging="360"/>
      </w:pPr>
    </w:lvl>
    <w:lvl w:ilvl="5" w:tplc="9CAC1A8C">
      <w:start w:val="1"/>
      <w:numFmt w:val="lowerRoman"/>
      <w:lvlText w:val="%6."/>
      <w:lvlJc w:val="right"/>
      <w:pPr>
        <w:ind w:left="3960" w:hanging="180"/>
      </w:pPr>
    </w:lvl>
    <w:lvl w:ilvl="6" w:tplc="BBB0CEE6">
      <w:start w:val="1"/>
      <w:numFmt w:val="decimal"/>
      <w:lvlText w:val="%7."/>
      <w:lvlJc w:val="left"/>
      <w:pPr>
        <w:ind w:left="4680" w:hanging="360"/>
      </w:pPr>
    </w:lvl>
    <w:lvl w:ilvl="7" w:tplc="0DD4E96A">
      <w:start w:val="1"/>
      <w:numFmt w:val="lowerLetter"/>
      <w:lvlText w:val="%8."/>
      <w:lvlJc w:val="left"/>
      <w:pPr>
        <w:ind w:left="5400" w:hanging="360"/>
      </w:pPr>
    </w:lvl>
    <w:lvl w:ilvl="8" w:tplc="4A6EF07E">
      <w:start w:val="1"/>
      <w:numFmt w:val="lowerRoman"/>
      <w:lvlText w:val="%9."/>
      <w:lvlJc w:val="right"/>
      <w:pPr>
        <w:ind w:left="6120" w:hanging="180"/>
      </w:pPr>
    </w:lvl>
  </w:abstractNum>
  <w:abstractNum w:abstractNumId="25" w15:restartNumberingAfterBreak="0">
    <w:nsid w:val="7C3671CF"/>
    <w:multiLevelType w:val="hybridMultilevel"/>
    <w:tmpl w:val="BAE6899A"/>
    <w:lvl w:ilvl="0" w:tplc="FFFFFFFF">
      <w:start w:val="1"/>
      <w:numFmt w:val="lowerLetter"/>
      <w:lvlText w:val="%1."/>
      <w:lvlJc w:val="left"/>
      <w:pPr>
        <w:ind w:left="72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16cid:durableId="681510844">
    <w:abstractNumId w:val="24"/>
  </w:num>
  <w:num w:numId="2" w16cid:durableId="740254638">
    <w:abstractNumId w:val="5"/>
  </w:num>
  <w:num w:numId="3" w16cid:durableId="277031847">
    <w:abstractNumId w:val="23"/>
  </w:num>
  <w:num w:numId="4" w16cid:durableId="456801242">
    <w:abstractNumId w:val="1"/>
  </w:num>
  <w:num w:numId="5" w16cid:durableId="370417843">
    <w:abstractNumId w:val="10"/>
  </w:num>
  <w:num w:numId="6" w16cid:durableId="1364164556">
    <w:abstractNumId w:val="22"/>
  </w:num>
  <w:num w:numId="7" w16cid:durableId="1494444661">
    <w:abstractNumId w:val="15"/>
  </w:num>
  <w:num w:numId="8" w16cid:durableId="1583296559">
    <w:abstractNumId w:val="7"/>
  </w:num>
  <w:num w:numId="9" w16cid:durableId="134300470">
    <w:abstractNumId w:val="0"/>
  </w:num>
  <w:num w:numId="10" w16cid:durableId="551115383">
    <w:abstractNumId w:val="12"/>
  </w:num>
  <w:num w:numId="11" w16cid:durableId="1487362165">
    <w:abstractNumId w:val="16"/>
  </w:num>
  <w:num w:numId="12" w16cid:durableId="669333298">
    <w:abstractNumId w:val="18"/>
  </w:num>
  <w:num w:numId="13" w16cid:durableId="313031851">
    <w:abstractNumId w:val="13"/>
  </w:num>
  <w:num w:numId="14" w16cid:durableId="452410402">
    <w:abstractNumId w:val="9"/>
  </w:num>
  <w:num w:numId="15" w16cid:durableId="594435595">
    <w:abstractNumId w:val="6"/>
  </w:num>
  <w:num w:numId="16" w16cid:durableId="1812365076">
    <w:abstractNumId w:val="3"/>
  </w:num>
  <w:num w:numId="17" w16cid:durableId="356347437">
    <w:abstractNumId w:val="25"/>
  </w:num>
  <w:num w:numId="18" w16cid:durableId="781650469">
    <w:abstractNumId w:val="2"/>
  </w:num>
  <w:num w:numId="19" w16cid:durableId="524902326">
    <w:abstractNumId w:val="8"/>
  </w:num>
  <w:num w:numId="20" w16cid:durableId="496070526">
    <w:abstractNumId w:val="20"/>
  </w:num>
  <w:num w:numId="21" w16cid:durableId="1111778989">
    <w:abstractNumId w:val="21"/>
  </w:num>
  <w:num w:numId="22" w16cid:durableId="2133279167">
    <w:abstractNumId w:val="11"/>
  </w:num>
  <w:num w:numId="23" w16cid:durableId="1612084322">
    <w:abstractNumId w:val="14"/>
  </w:num>
  <w:num w:numId="24" w16cid:durableId="880676077">
    <w:abstractNumId w:val="19"/>
  </w:num>
  <w:num w:numId="25" w16cid:durableId="476461394">
    <w:abstractNumId w:val="17"/>
  </w:num>
  <w:num w:numId="26" w16cid:durableId="172139907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316"/>
    <w:rsid w:val="00003805"/>
    <w:rsid w:val="00004A8E"/>
    <w:rsid w:val="000076E8"/>
    <w:rsid w:val="00015243"/>
    <w:rsid w:val="000161F9"/>
    <w:rsid w:val="00016670"/>
    <w:rsid w:val="000166B5"/>
    <w:rsid w:val="00016B6C"/>
    <w:rsid w:val="00017501"/>
    <w:rsid w:val="0002084F"/>
    <w:rsid w:val="00020E0D"/>
    <w:rsid w:val="0002151A"/>
    <w:rsid w:val="0002189A"/>
    <w:rsid w:val="0002381A"/>
    <w:rsid w:val="00024759"/>
    <w:rsid w:val="000248AE"/>
    <w:rsid w:val="0002535F"/>
    <w:rsid w:val="000275E0"/>
    <w:rsid w:val="00033942"/>
    <w:rsid w:val="0003526B"/>
    <w:rsid w:val="000421F9"/>
    <w:rsid w:val="00045C24"/>
    <w:rsid w:val="00052C2B"/>
    <w:rsid w:val="0005431F"/>
    <w:rsid w:val="0005467D"/>
    <w:rsid w:val="00054CED"/>
    <w:rsid w:val="00060493"/>
    <w:rsid w:val="00060C76"/>
    <w:rsid w:val="000622DC"/>
    <w:rsid w:val="00067B8B"/>
    <w:rsid w:val="00067E65"/>
    <w:rsid w:val="00073770"/>
    <w:rsid w:val="000753CE"/>
    <w:rsid w:val="00075538"/>
    <w:rsid w:val="00075A6F"/>
    <w:rsid w:val="000760E0"/>
    <w:rsid w:val="00077463"/>
    <w:rsid w:val="00080279"/>
    <w:rsid w:val="0008206F"/>
    <w:rsid w:val="000830EA"/>
    <w:rsid w:val="000849B1"/>
    <w:rsid w:val="000916D0"/>
    <w:rsid w:val="000917FD"/>
    <w:rsid w:val="000919DA"/>
    <w:rsid w:val="000965DD"/>
    <w:rsid w:val="000A0A0F"/>
    <w:rsid w:val="000A2850"/>
    <w:rsid w:val="000A3BC1"/>
    <w:rsid w:val="000A4D2D"/>
    <w:rsid w:val="000B0614"/>
    <w:rsid w:val="000B1EC3"/>
    <w:rsid w:val="000B3C90"/>
    <w:rsid w:val="000B45EE"/>
    <w:rsid w:val="000B5A82"/>
    <w:rsid w:val="000B5C2C"/>
    <w:rsid w:val="000B7ACA"/>
    <w:rsid w:val="000C02C9"/>
    <w:rsid w:val="000C2896"/>
    <w:rsid w:val="000C4678"/>
    <w:rsid w:val="000C49CE"/>
    <w:rsid w:val="000C75BC"/>
    <w:rsid w:val="000D33F2"/>
    <w:rsid w:val="000D38EA"/>
    <w:rsid w:val="000D3D18"/>
    <w:rsid w:val="000D4E52"/>
    <w:rsid w:val="000D5441"/>
    <w:rsid w:val="000D651A"/>
    <w:rsid w:val="000D75D7"/>
    <w:rsid w:val="000D7D2F"/>
    <w:rsid w:val="000E11E4"/>
    <w:rsid w:val="000E2EBA"/>
    <w:rsid w:val="000E324C"/>
    <w:rsid w:val="000E7327"/>
    <w:rsid w:val="000F2493"/>
    <w:rsid w:val="000F2562"/>
    <w:rsid w:val="000F29A4"/>
    <w:rsid w:val="000F33C9"/>
    <w:rsid w:val="000F68BF"/>
    <w:rsid w:val="000F6E9A"/>
    <w:rsid w:val="000F7A92"/>
    <w:rsid w:val="000F7DF3"/>
    <w:rsid w:val="001019CD"/>
    <w:rsid w:val="00102238"/>
    <w:rsid w:val="00105EBE"/>
    <w:rsid w:val="00107883"/>
    <w:rsid w:val="00113B3B"/>
    <w:rsid w:val="001145FD"/>
    <w:rsid w:val="00115B2E"/>
    <w:rsid w:val="00116266"/>
    <w:rsid w:val="0011628E"/>
    <w:rsid w:val="00116746"/>
    <w:rsid w:val="001207FA"/>
    <w:rsid w:val="00121203"/>
    <w:rsid w:val="00123EBE"/>
    <w:rsid w:val="00125322"/>
    <w:rsid w:val="0013049C"/>
    <w:rsid w:val="00133811"/>
    <w:rsid w:val="00134072"/>
    <w:rsid w:val="001363E7"/>
    <w:rsid w:val="00136ED0"/>
    <w:rsid w:val="001376CC"/>
    <w:rsid w:val="00140697"/>
    <w:rsid w:val="0014178A"/>
    <w:rsid w:val="001421A1"/>
    <w:rsid w:val="001423F2"/>
    <w:rsid w:val="00144B84"/>
    <w:rsid w:val="0014732A"/>
    <w:rsid w:val="00154897"/>
    <w:rsid w:val="00155CFE"/>
    <w:rsid w:val="00156ACB"/>
    <w:rsid w:val="00162DFD"/>
    <w:rsid w:val="00163433"/>
    <w:rsid w:val="00166A45"/>
    <w:rsid w:val="0016767E"/>
    <w:rsid w:val="00172E28"/>
    <w:rsid w:val="001738E2"/>
    <w:rsid w:val="0017460D"/>
    <w:rsid w:val="00174954"/>
    <w:rsid w:val="00174F32"/>
    <w:rsid w:val="00175160"/>
    <w:rsid w:val="00175227"/>
    <w:rsid w:val="001765A5"/>
    <w:rsid w:val="001779D9"/>
    <w:rsid w:val="00181A84"/>
    <w:rsid w:val="00182300"/>
    <w:rsid w:val="00182E9E"/>
    <w:rsid w:val="00183F40"/>
    <w:rsid w:val="00190A4B"/>
    <w:rsid w:val="00190D7B"/>
    <w:rsid w:val="00192367"/>
    <w:rsid w:val="001929D8"/>
    <w:rsid w:val="00194723"/>
    <w:rsid w:val="00197414"/>
    <w:rsid w:val="001A5155"/>
    <w:rsid w:val="001A5DCC"/>
    <w:rsid w:val="001A732F"/>
    <w:rsid w:val="001B3A29"/>
    <w:rsid w:val="001B540E"/>
    <w:rsid w:val="001C2ACE"/>
    <w:rsid w:val="001C48A7"/>
    <w:rsid w:val="001C4BFB"/>
    <w:rsid w:val="001C5117"/>
    <w:rsid w:val="001C7870"/>
    <w:rsid w:val="001C78AE"/>
    <w:rsid w:val="001D0ED7"/>
    <w:rsid w:val="001D130C"/>
    <w:rsid w:val="001D3722"/>
    <w:rsid w:val="001D45A4"/>
    <w:rsid w:val="001D60B4"/>
    <w:rsid w:val="001D661D"/>
    <w:rsid w:val="001E5623"/>
    <w:rsid w:val="001E6DC2"/>
    <w:rsid w:val="001E6EB0"/>
    <w:rsid w:val="001E7840"/>
    <w:rsid w:val="001E7CF5"/>
    <w:rsid w:val="001F50DA"/>
    <w:rsid w:val="00203245"/>
    <w:rsid w:val="002038A2"/>
    <w:rsid w:val="00204DC5"/>
    <w:rsid w:val="00204E27"/>
    <w:rsid w:val="00205F44"/>
    <w:rsid w:val="002105F8"/>
    <w:rsid w:val="00210BFA"/>
    <w:rsid w:val="00212858"/>
    <w:rsid w:val="002152A6"/>
    <w:rsid w:val="002157BA"/>
    <w:rsid w:val="00215EE7"/>
    <w:rsid w:val="002166F7"/>
    <w:rsid w:val="00216BE2"/>
    <w:rsid w:val="00217BC4"/>
    <w:rsid w:val="00223D87"/>
    <w:rsid w:val="002252E8"/>
    <w:rsid w:val="00225BC7"/>
    <w:rsid w:val="00225BDB"/>
    <w:rsid w:val="002261EE"/>
    <w:rsid w:val="002268AB"/>
    <w:rsid w:val="00226F00"/>
    <w:rsid w:val="0022749C"/>
    <w:rsid w:val="00227C77"/>
    <w:rsid w:val="00233887"/>
    <w:rsid w:val="00233A88"/>
    <w:rsid w:val="00233DFB"/>
    <w:rsid w:val="00234672"/>
    <w:rsid w:val="0023697B"/>
    <w:rsid w:val="00241B9A"/>
    <w:rsid w:val="0024226F"/>
    <w:rsid w:val="00243DC7"/>
    <w:rsid w:val="00245342"/>
    <w:rsid w:val="002456F2"/>
    <w:rsid w:val="00245E1D"/>
    <w:rsid w:val="002462BD"/>
    <w:rsid w:val="00250817"/>
    <w:rsid w:val="002575CE"/>
    <w:rsid w:val="002579EB"/>
    <w:rsid w:val="00260712"/>
    <w:rsid w:val="002607CC"/>
    <w:rsid w:val="00263339"/>
    <w:rsid w:val="00265B33"/>
    <w:rsid w:val="002717F3"/>
    <w:rsid w:val="0027269D"/>
    <w:rsid w:val="00274FA5"/>
    <w:rsid w:val="0027510C"/>
    <w:rsid w:val="002809F6"/>
    <w:rsid w:val="002828B4"/>
    <w:rsid w:val="00283109"/>
    <w:rsid w:val="00283303"/>
    <w:rsid w:val="0028399A"/>
    <w:rsid w:val="00287F32"/>
    <w:rsid w:val="0029134D"/>
    <w:rsid w:val="00294692"/>
    <w:rsid w:val="00295B8A"/>
    <w:rsid w:val="00296254"/>
    <w:rsid w:val="00296C78"/>
    <w:rsid w:val="002978C8"/>
    <w:rsid w:val="002A0B32"/>
    <w:rsid w:val="002A4B83"/>
    <w:rsid w:val="002A6430"/>
    <w:rsid w:val="002A7427"/>
    <w:rsid w:val="002A79C5"/>
    <w:rsid w:val="002B0D07"/>
    <w:rsid w:val="002B31A7"/>
    <w:rsid w:val="002B321E"/>
    <w:rsid w:val="002B5673"/>
    <w:rsid w:val="002B5F94"/>
    <w:rsid w:val="002C26D9"/>
    <w:rsid w:val="002C5F1A"/>
    <w:rsid w:val="002D392B"/>
    <w:rsid w:val="002D49D1"/>
    <w:rsid w:val="002D57A3"/>
    <w:rsid w:val="002D7260"/>
    <w:rsid w:val="002D77A2"/>
    <w:rsid w:val="002E30FF"/>
    <w:rsid w:val="002E335E"/>
    <w:rsid w:val="002E54DE"/>
    <w:rsid w:val="002E7217"/>
    <w:rsid w:val="002E7CAA"/>
    <w:rsid w:val="002F388A"/>
    <w:rsid w:val="002F417B"/>
    <w:rsid w:val="002F539C"/>
    <w:rsid w:val="002F5D4C"/>
    <w:rsid w:val="002F6ADC"/>
    <w:rsid w:val="00300BFD"/>
    <w:rsid w:val="00300C95"/>
    <w:rsid w:val="003011F1"/>
    <w:rsid w:val="0030317E"/>
    <w:rsid w:val="00303B9A"/>
    <w:rsid w:val="003054A8"/>
    <w:rsid w:val="00306770"/>
    <w:rsid w:val="0030700A"/>
    <w:rsid w:val="00307DA3"/>
    <w:rsid w:val="00311F26"/>
    <w:rsid w:val="00321CA6"/>
    <w:rsid w:val="00322972"/>
    <w:rsid w:val="00327D31"/>
    <w:rsid w:val="003305CA"/>
    <w:rsid w:val="00330A49"/>
    <w:rsid w:val="00333D0D"/>
    <w:rsid w:val="0034064A"/>
    <w:rsid w:val="0034071B"/>
    <w:rsid w:val="0034564D"/>
    <w:rsid w:val="0035163A"/>
    <w:rsid w:val="00353390"/>
    <w:rsid w:val="00357842"/>
    <w:rsid w:val="00357CF8"/>
    <w:rsid w:val="003603F2"/>
    <w:rsid w:val="003626E1"/>
    <w:rsid w:val="0036792F"/>
    <w:rsid w:val="00370692"/>
    <w:rsid w:val="003715C7"/>
    <w:rsid w:val="00372AC1"/>
    <w:rsid w:val="00372C90"/>
    <w:rsid w:val="003742F5"/>
    <w:rsid w:val="00375614"/>
    <w:rsid w:val="00375956"/>
    <w:rsid w:val="0037595F"/>
    <w:rsid w:val="00375AFF"/>
    <w:rsid w:val="00376865"/>
    <w:rsid w:val="003802F4"/>
    <w:rsid w:val="003831AB"/>
    <w:rsid w:val="00384984"/>
    <w:rsid w:val="00390C06"/>
    <w:rsid w:val="003912CB"/>
    <w:rsid w:val="003924F8"/>
    <w:rsid w:val="00392F24"/>
    <w:rsid w:val="00396A64"/>
    <w:rsid w:val="003A3389"/>
    <w:rsid w:val="003A36C0"/>
    <w:rsid w:val="003A37C8"/>
    <w:rsid w:val="003A5DC3"/>
    <w:rsid w:val="003A63D1"/>
    <w:rsid w:val="003A6A5A"/>
    <w:rsid w:val="003A7135"/>
    <w:rsid w:val="003A7F75"/>
    <w:rsid w:val="003C01BE"/>
    <w:rsid w:val="003C032D"/>
    <w:rsid w:val="003C047D"/>
    <w:rsid w:val="003C17E4"/>
    <w:rsid w:val="003C4C19"/>
    <w:rsid w:val="003C4F86"/>
    <w:rsid w:val="003C5CD5"/>
    <w:rsid w:val="003C6D5E"/>
    <w:rsid w:val="003C761D"/>
    <w:rsid w:val="003C789B"/>
    <w:rsid w:val="003D4A4C"/>
    <w:rsid w:val="003D4F3C"/>
    <w:rsid w:val="003E26C5"/>
    <w:rsid w:val="003E5415"/>
    <w:rsid w:val="003E59A0"/>
    <w:rsid w:val="003F121A"/>
    <w:rsid w:val="003F1525"/>
    <w:rsid w:val="003F2C54"/>
    <w:rsid w:val="003F2E2F"/>
    <w:rsid w:val="003F424B"/>
    <w:rsid w:val="003F4B6B"/>
    <w:rsid w:val="003F53AE"/>
    <w:rsid w:val="0040280C"/>
    <w:rsid w:val="00402EE0"/>
    <w:rsid w:val="00405167"/>
    <w:rsid w:val="00405CDE"/>
    <w:rsid w:val="00406DC3"/>
    <w:rsid w:val="0041013C"/>
    <w:rsid w:val="004140D6"/>
    <w:rsid w:val="00415E00"/>
    <w:rsid w:val="004178DC"/>
    <w:rsid w:val="00417E7D"/>
    <w:rsid w:val="004221D2"/>
    <w:rsid w:val="00422A3F"/>
    <w:rsid w:val="00424BCA"/>
    <w:rsid w:val="00425E05"/>
    <w:rsid w:val="00425E6E"/>
    <w:rsid w:val="00427C82"/>
    <w:rsid w:val="0043450C"/>
    <w:rsid w:val="0044055F"/>
    <w:rsid w:val="004427F0"/>
    <w:rsid w:val="00442C7E"/>
    <w:rsid w:val="0044396D"/>
    <w:rsid w:val="00443CBC"/>
    <w:rsid w:val="00446A3F"/>
    <w:rsid w:val="00450CCE"/>
    <w:rsid w:val="00450ECA"/>
    <w:rsid w:val="004519E0"/>
    <w:rsid w:val="00452699"/>
    <w:rsid w:val="00453EAF"/>
    <w:rsid w:val="004542B7"/>
    <w:rsid w:val="004546DC"/>
    <w:rsid w:val="00454A5D"/>
    <w:rsid w:val="00462A11"/>
    <w:rsid w:val="00463D4E"/>
    <w:rsid w:val="00464884"/>
    <w:rsid w:val="00470BA0"/>
    <w:rsid w:val="00471CC6"/>
    <w:rsid w:val="0047507F"/>
    <w:rsid w:val="00477439"/>
    <w:rsid w:val="00477814"/>
    <w:rsid w:val="00480A9D"/>
    <w:rsid w:val="00485A3D"/>
    <w:rsid w:val="00486B7C"/>
    <w:rsid w:val="00487F79"/>
    <w:rsid w:val="00487FC3"/>
    <w:rsid w:val="00490C62"/>
    <w:rsid w:val="0049162F"/>
    <w:rsid w:val="00491955"/>
    <w:rsid w:val="00492A0C"/>
    <w:rsid w:val="00496135"/>
    <w:rsid w:val="0049673E"/>
    <w:rsid w:val="00496C34"/>
    <w:rsid w:val="00497C91"/>
    <w:rsid w:val="004A0932"/>
    <w:rsid w:val="004A0FAB"/>
    <w:rsid w:val="004A10DF"/>
    <w:rsid w:val="004A27CB"/>
    <w:rsid w:val="004A2AFD"/>
    <w:rsid w:val="004A3249"/>
    <w:rsid w:val="004A37EA"/>
    <w:rsid w:val="004A4424"/>
    <w:rsid w:val="004B08DC"/>
    <w:rsid w:val="004B1102"/>
    <w:rsid w:val="004B1F82"/>
    <w:rsid w:val="004B39E6"/>
    <w:rsid w:val="004B56B0"/>
    <w:rsid w:val="004B5C07"/>
    <w:rsid w:val="004B63E4"/>
    <w:rsid w:val="004B6828"/>
    <w:rsid w:val="004C3010"/>
    <w:rsid w:val="004C3B01"/>
    <w:rsid w:val="004C5917"/>
    <w:rsid w:val="004C5E48"/>
    <w:rsid w:val="004C5FB7"/>
    <w:rsid w:val="004D0778"/>
    <w:rsid w:val="004D75F6"/>
    <w:rsid w:val="004E0694"/>
    <w:rsid w:val="004E141A"/>
    <w:rsid w:val="004E196A"/>
    <w:rsid w:val="004E2E85"/>
    <w:rsid w:val="004E424B"/>
    <w:rsid w:val="004E6E83"/>
    <w:rsid w:val="004E71FE"/>
    <w:rsid w:val="004F091F"/>
    <w:rsid w:val="004F24D0"/>
    <w:rsid w:val="00501C94"/>
    <w:rsid w:val="00502E10"/>
    <w:rsid w:val="00505009"/>
    <w:rsid w:val="005058D8"/>
    <w:rsid w:val="00506288"/>
    <w:rsid w:val="00506BF4"/>
    <w:rsid w:val="00507097"/>
    <w:rsid w:val="005109D1"/>
    <w:rsid w:val="0051296C"/>
    <w:rsid w:val="00515340"/>
    <w:rsid w:val="0051600D"/>
    <w:rsid w:val="00516FB2"/>
    <w:rsid w:val="00517337"/>
    <w:rsid w:val="00517819"/>
    <w:rsid w:val="0052134C"/>
    <w:rsid w:val="00523DEE"/>
    <w:rsid w:val="00524DCE"/>
    <w:rsid w:val="00525050"/>
    <w:rsid w:val="00525F06"/>
    <w:rsid w:val="0053110F"/>
    <w:rsid w:val="0053143C"/>
    <w:rsid w:val="00533FEF"/>
    <w:rsid w:val="00535C81"/>
    <w:rsid w:val="005361D4"/>
    <w:rsid w:val="005361F0"/>
    <w:rsid w:val="005374DB"/>
    <w:rsid w:val="005407DB"/>
    <w:rsid w:val="00546D8E"/>
    <w:rsid w:val="00546FDD"/>
    <w:rsid w:val="005477A6"/>
    <w:rsid w:val="00550666"/>
    <w:rsid w:val="00551340"/>
    <w:rsid w:val="0055300F"/>
    <w:rsid w:val="0055796C"/>
    <w:rsid w:val="005606FD"/>
    <w:rsid w:val="00562178"/>
    <w:rsid w:val="00565A52"/>
    <w:rsid w:val="00566A25"/>
    <w:rsid w:val="00566AD8"/>
    <w:rsid w:val="00570B86"/>
    <w:rsid w:val="005732EB"/>
    <w:rsid w:val="00574275"/>
    <w:rsid w:val="00574C21"/>
    <w:rsid w:val="005800BA"/>
    <w:rsid w:val="005803BF"/>
    <w:rsid w:val="005819C4"/>
    <w:rsid w:val="00582FAD"/>
    <w:rsid w:val="00584CEC"/>
    <w:rsid w:val="00585F7E"/>
    <w:rsid w:val="00586568"/>
    <w:rsid w:val="005919ED"/>
    <w:rsid w:val="005927B4"/>
    <w:rsid w:val="005935C3"/>
    <w:rsid w:val="00594ABF"/>
    <w:rsid w:val="00595A8F"/>
    <w:rsid w:val="00596FA1"/>
    <w:rsid w:val="005A11E6"/>
    <w:rsid w:val="005A2484"/>
    <w:rsid w:val="005A3CC9"/>
    <w:rsid w:val="005A4729"/>
    <w:rsid w:val="005A6A61"/>
    <w:rsid w:val="005B0968"/>
    <w:rsid w:val="005B207E"/>
    <w:rsid w:val="005B2484"/>
    <w:rsid w:val="005B3871"/>
    <w:rsid w:val="005B4A3B"/>
    <w:rsid w:val="005B4BC9"/>
    <w:rsid w:val="005B659D"/>
    <w:rsid w:val="005B6B98"/>
    <w:rsid w:val="005C1326"/>
    <w:rsid w:val="005C3527"/>
    <w:rsid w:val="005C3A77"/>
    <w:rsid w:val="005C4B02"/>
    <w:rsid w:val="005C7ABD"/>
    <w:rsid w:val="005D16EF"/>
    <w:rsid w:val="005E02AF"/>
    <w:rsid w:val="005E497F"/>
    <w:rsid w:val="005E62D6"/>
    <w:rsid w:val="005F0A40"/>
    <w:rsid w:val="005F0FBF"/>
    <w:rsid w:val="006003CE"/>
    <w:rsid w:val="00601358"/>
    <w:rsid w:val="006014A0"/>
    <w:rsid w:val="0060334F"/>
    <w:rsid w:val="0061089B"/>
    <w:rsid w:val="006123B6"/>
    <w:rsid w:val="0061475C"/>
    <w:rsid w:val="00614971"/>
    <w:rsid w:val="00626016"/>
    <w:rsid w:val="00627218"/>
    <w:rsid w:val="0063266C"/>
    <w:rsid w:val="006355D1"/>
    <w:rsid w:val="00635CCB"/>
    <w:rsid w:val="00635DD4"/>
    <w:rsid w:val="00637692"/>
    <w:rsid w:val="0064294C"/>
    <w:rsid w:val="00644A9E"/>
    <w:rsid w:val="0064704A"/>
    <w:rsid w:val="006524AB"/>
    <w:rsid w:val="00654F18"/>
    <w:rsid w:val="006560AA"/>
    <w:rsid w:val="00662FE1"/>
    <w:rsid w:val="00667FA1"/>
    <w:rsid w:val="00671465"/>
    <w:rsid w:val="006745FC"/>
    <w:rsid w:val="00675234"/>
    <w:rsid w:val="006825FE"/>
    <w:rsid w:val="00682DAF"/>
    <w:rsid w:val="00683738"/>
    <w:rsid w:val="00684F37"/>
    <w:rsid w:val="006916AD"/>
    <w:rsid w:val="00692ADA"/>
    <w:rsid w:val="00693D0B"/>
    <w:rsid w:val="00694B4F"/>
    <w:rsid w:val="006A0F44"/>
    <w:rsid w:val="006A118D"/>
    <w:rsid w:val="006A3972"/>
    <w:rsid w:val="006A712D"/>
    <w:rsid w:val="006B0100"/>
    <w:rsid w:val="006B5AAE"/>
    <w:rsid w:val="006B7966"/>
    <w:rsid w:val="006C7ABB"/>
    <w:rsid w:val="006D27A6"/>
    <w:rsid w:val="006D3EE7"/>
    <w:rsid w:val="006D57EC"/>
    <w:rsid w:val="006D6960"/>
    <w:rsid w:val="006E101D"/>
    <w:rsid w:val="006E272C"/>
    <w:rsid w:val="006E55BC"/>
    <w:rsid w:val="006E6106"/>
    <w:rsid w:val="006E6F8C"/>
    <w:rsid w:val="006E76BE"/>
    <w:rsid w:val="006F0918"/>
    <w:rsid w:val="006F56A2"/>
    <w:rsid w:val="006F58C2"/>
    <w:rsid w:val="006F6E04"/>
    <w:rsid w:val="006F7ED0"/>
    <w:rsid w:val="00705AD6"/>
    <w:rsid w:val="00712D4B"/>
    <w:rsid w:val="00712FE3"/>
    <w:rsid w:val="00717216"/>
    <w:rsid w:val="00722F56"/>
    <w:rsid w:val="00723332"/>
    <w:rsid w:val="007317AC"/>
    <w:rsid w:val="00731D44"/>
    <w:rsid w:val="00732F28"/>
    <w:rsid w:val="00733859"/>
    <w:rsid w:val="00733DCF"/>
    <w:rsid w:val="007343B8"/>
    <w:rsid w:val="00736715"/>
    <w:rsid w:val="00741FC7"/>
    <w:rsid w:val="0074444A"/>
    <w:rsid w:val="00745C25"/>
    <w:rsid w:val="00750A7A"/>
    <w:rsid w:val="00754FE3"/>
    <w:rsid w:val="007573C5"/>
    <w:rsid w:val="007600FA"/>
    <w:rsid w:val="0076093D"/>
    <w:rsid w:val="00761DA0"/>
    <w:rsid w:val="007622D7"/>
    <w:rsid w:val="00763AF1"/>
    <w:rsid w:val="0076609B"/>
    <w:rsid w:val="00766DD6"/>
    <w:rsid w:val="00767F9C"/>
    <w:rsid w:val="00780ED9"/>
    <w:rsid w:val="007825F2"/>
    <w:rsid w:val="00783ABA"/>
    <w:rsid w:val="00784A3C"/>
    <w:rsid w:val="00787BAF"/>
    <w:rsid w:val="00790FE2"/>
    <w:rsid w:val="00791749"/>
    <w:rsid w:val="00793BD7"/>
    <w:rsid w:val="0079466D"/>
    <w:rsid w:val="007970AB"/>
    <w:rsid w:val="0079772A"/>
    <w:rsid w:val="007A1789"/>
    <w:rsid w:val="007A4195"/>
    <w:rsid w:val="007A4B1F"/>
    <w:rsid w:val="007A52D6"/>
    <w:rsid w:val="007A6E4D"/>
    <w:rsid w:val="007B15C8"/>
    <w:rsid w:val="007B6953"/>
    <w:rsid w:val="007B7784"/>
    <w:rsid w:val="007C06A2"/>
    <w:rsid w:val="007C0937"/>
    <w:rsid w:val="007C1094"/>
    <w:rsid w:val="007C1A0B"/>
    <w:rsid w:val="007C27CE"/>
    <w:rsid w:val="007C348F"/>
    <w:rsid w:val="007C384E"/>
    <w:rsid w:val="007C3CD0"/>
    <w:rsid w:val="007C7AEF"/>
    <w:rsid w:val="007D3D20"/>
    <w:rsid w:val="007D4EB7"/>
    <w:rsid w:val="007D6F47"/>
    <w:rsid w:val="007D7E9C"/>
    <w:rsid w:val="007E013D"/>
    <w:rsid w:val="007E0975"/>
    <w:rsid w:val="007E36E4"/>
    <w:rsid w:val="007E5E07"/>
    <w:rsid w:val="007E7046"/>
    <w:rsid w:val="007F53C0"/>
    <w:rsid w:val="007F5C2D"/>
    <w:rsid w:val="007F61E3"/>
    <w:rsid w:val="007F717F"/>
    <w:rsid w:val="008016A1"/>
    <w:rsid w:val="00805699"/>
    <w:rsid w:val="00807CF9"/>
    <w:rsid w:val="00812D06"/>
    <w:rsid w:val="008139FB"/>
    <w:rsid w:val="00820236"/>
    <w:rsid w:val="008252E0"/>
    <w:rsid w:val="00825A4E"/>
    <w:rsid w:val="008275E9"/>
    <w:rsid w:val="00831D8A"/>
    <w:rsid w:val="00836A3F"/>
    <w:rsid w:val="0084028D"/>
    <w:rsid w:val="0084035E"/>
    <w:rsid w:val="00840403"/>
    <w:rsid w:val="00841877"/>
    <w:rsid w:val="00844032"/>
    <w:rsid w:val="00847719"/>
    <w:rsid w:val="008518C9"/>
    <w:rsid w:val="00853960"/>
    <w:rsid w:val="008609E9"/>
    <w:rsid w:val="00860F47"/>
    <w:rsid w:val="008616B9"/>
    <w:rsid w:val="00863D6D"/>
    <w:rsid w:val="00871224"/>
    <w:rsid w:val="008726E6"/>
    <w:rsid w:val="00872D5A"/>
    <w:rsid w:val="008733D2"/>
    <w:rsid w:val="008766F3"/>
    <w:rsid w:val="00881118"/>
    <w:rsid w:val="0088159C"/>
    <w:rsid w:val="0088211A"/>
    <w:rsid w:val="00884F56"/>
    <w:rsid w:val="008854F6"/>
    <w:rsid w:val="00886667"/>
    <w:rsid w:val="00886BC4"/>
    <w:rsid w:val="00891E4F"/>
    <w:rsid w:val="008972E4"/>
    <w:rsid w:val="008A02F3"/>
    <w:rsid w:val="008A1869"/>
    <w:rsid w:val="008A1C1D"/>
    <w:rsid w:val="008A48CA"/>
    <w:rsid w:val="008B06A6"/>
    <w:rsid w:val="008B2938"/>
    <w:rsid w:val="008B395C"/>
    <w:rsid w:val="008B7D31"/>
    <w:rsid w:val="008C397C"/>
    <w:rsid w:val="008C3A37"/>
    <w:rsid w:val="008C5773"/>
    <w:rsid w:val="008D0CA6"/>
    <w:rsid w:val="008D4CD0"/>
    <w:rsid w:val="008D5358"/>
    <w:rsid w:val="008D5B0A"/>
    <w:rsid w:val="008D6AD0"/>
    <w:rsid w:val="008D70D6"/>
    <w:rsid w:val="008D74CD"/>
    <w:rsid w:val="008E0180"/>
    <w:rsid w:val="008E0341"/>
    <w:rsid w:val="008E04BD"/>
    <w:rsid w:val="008E0FAB"/>
    <w:rsid w:val="008E35A5"/>
    <w:rsid w:val="008E4860"/>
    <w:rsid w:val="008F0B15"/>
    <w:rsid w:val="008F1AA6"/>
    <w:rsid w:val="008F1CF9"/>
    <w:rsid w:val="008F2068"/>
    <w:rsid w:val="008F2212"/>
    <w:rsid w:val="008F522F"/>
    <w:rsid w:val="008F73C8"/>
    <w:rsid w:val="008F7E69"/>
    <w:rsid w:val="00903786"/>
    <w:rsid w:val="00903AB2"/>
    <w:rsid w:val="00904C61"/>
    <w:rsid w:val="00905F29"/>
    <w:rsid w:val="0090719E"/>
    <w:rsid w:val="009109AA"/>
    <w:rsid w:val="009115C0"/>
    <w:rsid w:val="00911D44"/>
    <w:rsid w:val="00916DD6"/>
    <w:rsid w:val="00921EE6"/>
    <w:rsid w:val="00926875"/>
    <w:rsid w:val="00926879"/>
    <w:rsid w:val="009336C3"/>
    <w:rsid w:val="00933C8C"/>
    <w:rsid w:val="009367F6"/>
    <w:rsid w:val="0093741D"/>
    <w:rsid w:val="0093747A"/>
    <w:rsid w:val="00942CB3"/>
    <w:rsid w:val="00944174"/>
    <w:rsid w:val="00944594"/>
    <w:rsid w:val="00951652"/>
    <w:rsid w:val="00952F2F"/>
    <w:rsid w:val="00956960"/>
    <w:rsid w:val="00957ED0"/>
    <w:rsid w:val="00963259"/>
    <w:rsid w:val="00963BA3"/>
    <w:rsid w:val="00965C4B"/>
    <w:rsid w:val="0096713F"/>
    <w:rsid w:val="00967741"/>
    <w:rsid w:val="00967B0E"/>
    <w:rsid w:val="00971BA7"/>
    <w:rsid w:val="009757BB"/>
    <w:rsid w:val="0098151F"/>
    <w:rsid w:val="00982BB9"/>
    <w:rsid w:val="00983F64"/>
    <w:rsid w:val="0098471E"/>
    <w:rsid w:val="00985760"/>
    <w:rsid w:val="00986A46"/>
    <w:rsid w:val="009906A6"/>
    <w:rsid w:val="00991358"/>
    <w:rsid w:val="00992ADC"/>
    <w:rsid w:val="009A6D32"/>
    <w:rsid w:val="009A71C4"/>
    <w:rsid w:val="009B15EC"/>
    <w:rsid w:val="009B1781"/>
    <w:rsid w:val="009B1997"/>
    <w:rsid w:val="009B2546"/>
    <w:rsid w:val="009B464D"/>
    <w:rsid w:val="009C1F90"/>
    <w:rsid w:val="009C2D6E"/>
    <w:rsid w:val="009C2FDF"/>
    <w:rsid w:val="009C34A9"/>
    <w:rsid w:val="009C426F"/>
    <w:rsid w:val="009C66A3"/>
    <w:rsid w:val="009C6B3E"/>
    <w:rsid w:val="009C7F95"/>
    <w:rsid w:val="009D54A3"/>
    <w:rsid w:val="009D616A"/>
    <w:rsid w:val="009E0DF2"/>
    <w:rsid w:val="009E5EEF"/>
    <w:rsid w:val="009E6061"/>
    <w:rsid w:val="009E64AF"/>
    <w:rsid w:val="009F090D"/>
    <w:rsid w:val="00A01086"/>
    <w:rsid w:val="00A01724"/>
    <w:rsid w:val="00A05E57"/>
    <w:rsid w:val="00A0755E"/>
    <w:rsid w:val="00A1120D"/>
    <w:rsid w:val="00A13CB3"/>
    <w:rsid w:val="00A13F0D"/>
    <w:rsid w:val="00A15DB7"/>
    <w:rsid w:val="00A15E9F"/>
    <w:rsid w:val="00A17503"/>
    <w:rsid w:val="00A17F29"/>
    <w:rsid w:val="00A20A88"/>
    <w:rsid w:val="00A215B3"/>
    <w:rsid w:val="00A219B6"/>
    <w:rsid w:val="00A23F09"/>
    <w:rsid w:val="00A24D20"/>
    <w:rsid w:val="00A30087"/>
    <w:rsid w:val="00A30953"/>
    <w:rsid w:val="00A31928"/>
    <w:rsid w:val="00A32C4E"/>
    <w:rsid w:val="00A32F0E"/>
    <w:rsid w:val="00A3452B"/>
    <w:rsid w:val="00A35237"/>
    <w:rsid w:val="00A44566"/>
    <w:rsid w:val="00A46A9A"/>
    <w:rsid w:val="00A50111"/>
    <w:rsid w:val="00A52C22"/>
    <w:rsid w:val="00A5759C"/>
    <w:rsid w:val="00A60022"/>
    <w:rsid w:val="00A60994"/>
    <w:rsid w:val="00A643F1"/>
    <w:rsid w:val="00A6514E"/>
    <w:rsid w:val="00A6600C"/>
    <w:rsid w:val="00A663A6"/>
    <w:rsid w:val="00A67F8A"/>
    <w:rsid w:val="00A7069E"/>
    <w:rsid w:val="00A70BCE"/>
    <w:rsid w:val="00A72CF0"/>
    <w:rsid w:val="00A77D0A"/>
    <w:rsid w:val="00A81707"/>
    <w:rsid w:val="00A8449C"/>
    <w:rsid w:val="00A84C3C"/>
    <w:rsid w:val="00A87F4B"/>
    <w:rsid w:val="00A909A3"/>
    <w:rsid w:val="00A91BD2"/>
    <w:rsid w:val="00A92ADD"/>
    <w:rsid w:val="00A940BE"/>
    <w:rsid w:val="00A94A77"/>
    <w:rsid w:val="00A951ED"/>
    <w:rsid w:val="00A96316"/>
    <w:rsid w:val="00A9658A"/>
    <w:rsid w:val="00A970ED"/>
    <w:rsid w:val="00AA244A"/>
    <w:rsid w:val="00AA553F"/>
    <w:rsid w:val="00AA6303"/>
    <w:rsid w:val="00AB3D33"/>
    <w:rsid w:val="00AB4D1A"/>
    <w:rsid w:val="00AB670A"/>
    <w:rsid w:val="00AC027B"/>
    <w:rsid w:val="00AC1B27"/>
    <w:rsid w:val="00AC4654"/>
    <w:rsid w:val="00AC4C62"/>
    <w:rsid w:val="00AC5961"/>
    <w:rsid w:val="00AC60D4"/>
    <w:rsid w:val="00AD0FD4"/>
    <w:rsid w:val="00AD537C"/>
    <w:rsid w:val="00AE1E2D"/>
    <w:rsid w:val="00AE39EE"/>
    <w:rsid w:val="00AE3C45"/>
    <w:rsid w:val="00AE53E5"/>
    <w:rsid w:val="00AE6FB1"/>
    <w:rsid w:val="00B011DB"/>
    <w:rsid w:val="00B016B6"/>
    <w:rsid w:val="00B04D85"/>
    <w:rsid w:val="00B0748F"/>
    <w:rsid w:val="00B11639"/>
    <w:rsid w:val="00B129C3"/>
    <w:rsid w:val="00B15B56"/>
    <w:rsid w:val="00B16202"/>
    <w:rsid w:val="00B20E10"/>
    <w:rsid w:val="00B21427"/>
    <w:rsid w:val="00B215DD"/>
    <w:rsid w:val="00B21F34"/>
    <w:rsid w:val="00B23D57"/>
    <w:rsid w:val="00B24C1C"/>
    <w:rsid w:val="00B2669C"/>
    <w:rsid w:val="00B32830"/>
    <w:rsid w:val="00B42FAF"/>
    <w:rsid w:val="00B43B12"/>
    <w:rsid w:val="00B50FEA"/>
    <w:rsid w:val="00B51175"/>
    <w:rsid w:val="00B5397C"/>
    <w:rsid w:val="00B53A17"/>
    <w:rsid w:val="00B54FA9"/>
    <w:rsid w:val="00B561AC"/>
    <w:rsid w:val="00B57B0B"/>
    <w:rsid w:val="00B603E6"/>
    <w:rsid w:val="00B60DFD"/>
    <w:rsid w:val="00B6201C"/>
    <w:rsid w:val="00B631EC"/>
    <w:rsid w:val="00B64308"/>
    <w:rsid w:val="00B70BAD"/>
    <w:rsid w:val="00B7194E"/>
    <w:rsid w:val="00B71F74"/>
    <w:rsid w:val="00B73C23"/>
    <w:rsid w:val="00B74936"/>
    <w:rsid w:val="00B771FF"/>
    <w:rsid w:val="00B776E8"/>
    <w:rsid w:val="00B82C45"/>
    <w:rsid w:val="00B82D0C"/>
    <w:rsid w:val="00B873EA"/>
    <w:rsid w:val="00B93EFD"/>
    <w:rsid w:val="00B94D05"/>
    <w:rsid w:val="00BA054F"/>
    <w:rsid w:val="00BA123B"/>
    <w:rsid w:val="00BA3721"/>
    <w:rsid w:val="00BA3B18"/>
    <w:rsid w:val="00BA7802"/>
    <w:rsid w:val="00BB0291"/>
    <w:rsid w:val="00BB059B"/>
    <w:rsid w:val="00BB1372"/>
    <w:rsid w:val="00BB4037"/>
    <w:rsid w:val="00BB4B21"/>
    <w:rsid w:val="00BC05A5"/>
    <w:rsid w:val="00BD1242"/>
    <w:rsid w:val="00BD3C26"/>
    <w:rsid w:val="00BD7EA0"/>
    <w:rsid w:val="00BE049C"/>
    <w:rsid w:val="00BE2210"/>
    <w:rsid w:val="00BE2731"/>
    <w:rsid w:val="00BE5AC7"/>
    <w:rsid w:val="00BF2B7D"/>
    <w:rsid w:val="00BF3C23"/>
    <w:rsid w:val="00BF3E58"/>
    <w:rsid w:val="00BF4A8E"/>
    <w:rsid w:val="00BF546D"/>
    <w:rsid w:val="00BF73E4"/>
    <w:rsid w:val="00BF75D8"/>
    <w:rsid w:val="00C026A1"/>
    <w:rsid w:val="00C02B1C"/>
    <w:rsid w:val="00C034D7"/>
    <w:rsid w:val="00C0628D"/>
    <w:rsid w:val="00C06A46"/>
    <w:rsid w:val="00C0760F"/>
    <w:rsid w:val="00C07A86"/>
    <w:rsid w:val="00C20C6B"/>
    <w:rsid w:val="00C23C8C"/>
    <w:rsid w:val="00C2A2BC"/>
    <w:rsid w:val="00C3042D"/>
    <w:rsid w:val="00C31E5A"/>
    <w:rsid w:val="00C3232F"/>
    <w:rsid w:val="00C327A4"/>
    <w:rsid w:val="00C33B9B"/>
    <w:rsid w:val="00C362B7"/>
    <w:rsid w:val="00C3693F"/>
    <w:rsid w:val="00C37A6A"/>
    <w:rsid w:val="00C401E0"/>
    <w:rsid w:val="00C40800"/>
    <w:rsid w:val="00C4097D"/>
    <w:rsid w:val="00C40E51"/>
    <w:rsid w:val="00C41E25"/>
    <w:rsid w:val="00C436B8"/>
    <w:rsid w:val="00C43959"/>
    <w:rsid w:val="00C443D7"/>
    <w:rsid w:val="00C448F3"/>
    <w:rsid w:val="00C45442"/>
    <w:rsid w:val="00C4694E"/>
    <w:rsid w:val="00C50BCF"/>
    <w:rsid w:val="00C5450A"/>
    <w:rsid w:val="00C5535B"/>
    <w:rsid w:val="00C5583E"/>
    <w:rsid w:val="00C56635"/>
    <w:rsid w:val="00C56D16"/>
    <w:rsid w:val="00C60410"/>
    <w:rsid w:val="00C605F2"/>
    <w:rsid w:val="00C607BE"/>
    <w:rsid w:val="00C61380"/>
    <w:rsid w:val="00C620FD"/>
    <w:rsid w:val="00C639E4"/>
    <w:rsid w:val="00C66620"/>
    <w:rsid w:val="00C71CED"/>
    <w:rsid w:val="00C73F25"/>
    <w:rsid w:val="00C7717C"/>
    <w:rsid w:val="00C778C6"/>
    <w:rsid w:val="00C80777"/>
    <w:rsid w:val="00C80C62"/>
    <w:rsid w:val="00C82A8A"/>
    <w:rsid w:val="00C845A0"/>
    <w:rsid w:val="00C8634C"/>
    <w:rsid w:val="00C9063E"/>
    <w:rsid w:val="00CA168B"/>
    <w:rsid w:val="00CA29EB"/>
    <w:rsid w:val="00CA4694"/>
    <w:rsid w:val="00CA5E62"/>
    <w:rsid w:val="00CB032B"/>
    <w:rsid w:val="00CB0554"/>
    <w:rsid w:val="00CC1136"/>
    <w:rsid w:val="00CC1BF8"/>
    <w:rsid w:val="00CC5606"/>
    <w:rsid w:val="00CC7793"/>
    <w:rsid w:val="00CD02A5"/>
    <w:rsid w:val="00CD1B61"/>
    <w:rsid w:val="00CD6223"/>
    <w:rsid w:val="00CD6935"/>
    <w:rsid w:val="00CD6AC2"/>
    <w:rsid w:val="00CD742C"/>
    <w:rsid w:val="00CD75B9"/>
    <w:rsid w:val="00CD7F0B"/>
    <w:rsid w:val="00CE0A0C"/>
    <w:rsid w:val="00CE1D35"/>
    <w:rsid w:val="00CE2023"/>
    <w:rsid w:val="00CF0409"/>
    <w:rsid w:val="00CF1EA3"/>
    <w:rsid w:val="00CF5A2D"/>
    <w:rsid w:val="00CF6C2B"/>
    <w:rsid w:val="00D00657"/>
    <w:rsid w:val="00D02211"/>
    <w:rsid w:val="00D044DC"/>
    <w:rsid w:val="00D05A02"/>
    <w:rsid w:val="00D0725D"/>
    <w:rsid w:val="00D11747"/>
    <w:rsid w:val="00D11F38"/>
    <w:rsid w:val="00D11F49"/>
    <w:rsid w:val="00D17467"/>
    <w:rsid w:val="00D2150F"/>
    <w:rsid w:val="00D21585"/>
    <w:rsid w:val="00D215DF"/>
    <w:rsid w:val="00D25666"/>
    <w:rsid w:val="00D33131"/>
    <w:rsid w:val="00D33E3B"/>
    <w:rsid w:val="00D37853"/>
    <w:rsid w:val="00D40B85"/>
    <w:rsid w:val="00D40D96"/>
    <w:rsid w:val="00D413A3"/>
    <w:rsid w:val="00D439AA"/>
    <w:rsid w:val="00D4715E"/>
    <w:rsid w:val="00D51684"/>
    <w:rsid w:val="00D51F4D"/>
    <w:rsid w:val="00D52F4D"/>
    <w:rsid w:val="00D535AC"/>
    <w:rsid w:val="00D54D31"/>
    <w:rsid w:val="00D551B0"/>
    <w:rsid w:val="00D552F1"/>
    <w:rsid w:val="00D555C7"/>
    <w:rsid w:val="00D566F4"/>
    <w:rsid w:val="00D5675F"/>
    <w:rsid w:val="00D60855"/>
    <w:rsid w:val="00D61FF7"/>
    <w:rsid w:val="00D621F5"/>
    <w:rsid w:val="00D631EE"/>
    <w:rsid w:val="00D6627F"/>
    <w:rsid w:val="00D66716"/>
    <w:rsid w:val="00D67ACC"/>
    <w:rsid w:val="00D7298A"/>
    <w:rsid w:val="00D73A86"/>
    <w:rsid w:val="00D766F8"/>
    <w:rsid w:val="00D76AE7"/>
    <w:rsid w:val="00D77EA9"/>
    <w:rsid w:val="00D81F86"/>
    <w:rsid w:val="00D85874"/>
    <w:rsid w:val="00D93914"/>
    <w:rsid w:val="00DA0453"/>
    <w:rsid w:val="00DA137E"/>
    <w:rsid w:val="00DB3936"/>
    <w:rsid w:val="00DC075C"/>
    <w:rsid w:val="00DC0F1D"/>
    <w:rsid w:val="00DC63D4"/>
    <w:rsid w:val="00DC6FBB"/>
    <w:rsid w:val="00DD0E43"/>
    <w:rsid w:val="00DD3940"/>
    <w:rsid w:val="00DD5212"/>
    <w:rsid w:val="00DD5D38"/>
    <w:rsid w:val="00DD69B8"/>
    <w:rsid w:val="00DD7094"/>
    <w:rsid w:val="00DE05FE"/>
    <w:rsid w:val="00DE111A"/>
    <w:rsid w:val="00DE5EE8"/>
    <w:rsid w:val="00DE657A"/>
    <w:rsid w:val="00DE74EC"/>
    <w:rsid w:val="00DF0B01"/>
    <w:rsid w:val="00DF0F15"/>
    <w:rsid w:val="00DF1648"/>
    <w:rsid w:val="00DF2FA7"/>
    <w:rsid w:val="00DF394D"/>
    <w:rsid w:val="00DF42F6"/>
    <w:rsid w:val="00DF56B6"/>
    <w:rsid w:val="00DF5A46"/>
    <w:rsid w:val="00E02A7E"/>
    <w:rsid w:val="00E04775"/>
    <w:rsid w:val="00E10B5B"/>
    <w:rsid w:val="00E11105"/>
    <w:rsid w:val="00E16939"/>
    <w:rsid w:val="00E1766A"/>
    <w:rsid w:val="00E215DC"/>
    <w:rsid w:val="00E235DA"/>
    <w:rsid w:val="00E24025"/>
    <w:rsid w:val="00E25417"/>
    <w:rsid w:val="00E267E6"/>
    <w:rsid w:val="00E338B5"/>
    <w:rsid w:val="00E34501"/>
    <w:rsid w:val="00E35B8F"/>
    <w:rsid w:val="00E35BC6"/>
    <w:rsid w:val="00E36B5C"/>
    <w:rsid w:val="00E40078"/>
    <w:rsid w:val="00E406C0"/>
    <w:rsid w:val="00E4461B"/>
    <w:rsid w:val="00E4520C"/>
    <w:rsid w:val="00E4672A"/>
    <w:rsid w:val="00E548C5"/>
    <w:rsid w:val="00E55816"/>
    <w:rsid w:val="00E62B01"/>
    <w:rsid w:val="00E64B67"/>
    <w:rsid w:val="00E669CD"/>
    <w:rsid w:val="00E66AFD"/>
    <w:rsid w:val="00E70965"/>
    <w:rsid w:val="00E70A2C"/>
    <w:rsid w:val="00E720B5"/>
    <w:rsid w:val="00E80419"/>
    <w:rsid w:val="00E80514"/>
    <w:rsid w:val="00E80531"/>
    <w:rsid w:val="00E81A92"/>
    <w:rsid w:val="00E82282"/>
    <w:rsid w:val="00E83A1D"/>
    <w:rsid w:val="00E847A7"/>
    <w:rsid w:val="00E850F4"/>
    <w:rsid w:val="00E85C7D"/>
    <w:rsid w:val="00E85FF2"/>
    <w:rsid w:val="00E86A07"/>
    <w:rsid w:val="00E86CBA"/>
    <w:rsid w:val="00E90E39"/>
    <w:rsid w:val="00E931D9"/>
    <w:rsid w:val="00E93C25"/>
    <w:rsid w:val="00E942F6"/>
    <w:rsid w:val="00EA5D8D"/>
    <w:rsid w:val="00EA6FF6"/>
    <w:rsid w:val="00EB0E1A"/>
    <w:rsid w:val="00EB0FBB"/>
    <w:rsid w:val="00EB1557"/>
    <w:rsid w:val="00EB3D6D"/>
    <w:rsid w:val="00EB6D86"/>
    <w:rsid w:val="00EB6EA1"/>
    <w:rsid w:val="00EC004F"/>
    <w:rsid w:val="00EC2A56"/>
    <w:rsid w:val="00EC4BD6"/>
    <w:rsid w:val="00ED0F84"/>
    <w:rsid w:val="00ED3522"/>
    <w:rsid w:val="00ED6C3B"/>
    <w:rsid w:val="00ED78B2"/>
    <w:rsid w:val="00EE45E0"/>
    <w:rsid w:val="00EE46BB"/>
    <w:rsid w:val="00EE570F"/>
    <w:rsid w:val="00EE5F89"/>
    <w:rsid w:val="00EE76B3"/>
    <w:rsid w:val="00EF1B2D"/>
    <w:rsid w:val="00EF53B9"/>
    <w:rsid w:val="00EF6715"/>
    <w:rsid w:val="00F00C2E"/>
    <w:rsid w:val="00F00E23"/>
    <w:rsid w:val="00F0196A"/>
    <w:rsid w:val="00F0478F"/>
    <w:rsid w:val="00F07B2D"/>
    <w:rsid w:val="00F12C1D"/>
    <w:rsid w:val="00F14C1B"/>
    <w:rsid w:val="00F172EE"/>
    <w:rsid w:val="00F22FC2"/>
    <w:rsid w:val="00F232A9"/>
    <w:rsid w:val="00F248B6"/>
    <w:rsid w:val="00F31637"/>
    <w:rsid w:val="00F33B9F"/>
    <w:rsid w:val="00F37790"/>
    <w:rsid w:val="00F41932"/>
    <w:rsid w:val="00F41ADF"/>
    <w:rsid w:val="00F44C22"/>
    <w:rsid w:val="00F4789A"/>
    <w:rsid w:val="00F51C00"/>
    <w:rsid w:val="00F51FDE"/>
    <w:rsid w:val="00F5406B"/>
    <w:rsid w:val="00F57632"/>
    <w:rsid w:val="00F61364"/>
    <w:rsid w:val="00F614C4"/>
    <w:rsid w:val="00F61E2F"/>
    <w:rsid w:val="00F63511"/>
    <w:rsid w:val="00F71083"/>
    <w:rsid w:val="00F710F8"/>
    <w:rsid w:val="00F7256C"/>
    <w:rsid w:val="00F75A59"/>
    <w:rsid w:val="00F7650A"/>
    <w:rsid w:val="00F77C9D"/>
    <w:rsid w:val="00F842D0"/>
    <w:rsid w:val="00F84B02"/>
    <w:rsid w:val="00F85662"/>
    <w:rsid w:val="00F8797E"/>
    <w:rsid w:val="00F90702"/>
    <w:rsid w:val="00F91DA2"/>
    <w:rsid w:val="00F91E32"/>
    <w:rsid w:val="00F95DDF"/>
    <w:rsid w:val="00F96108"/>
    <w:rsid w:val="00F97D4A"/>
    <w:rsid w:val="00FA03BD"/>
    <w:rsid w:val="00FA040A"/>
    <w:rsid w:val="00FA0D04"/>
    <w:rsid w:val="00FA5BCE"/>
    <w:rsid w:val="00FA70A7"/>
    <w:rsid w:val="00FB36E7"/>
    <w:rsid w:val="00FB5337"/>
    <w:rsid w:val="00FB6427"/>
    <w:rsid w:val="00FB68D7"/>
    <w:rsid w:val="00FB6D16"/>
    <w:rsid w:val="00FB7AEB"/>
    <w:rsid w:val="00FC01B2"/>
    <w:rsid w:val="00FC02C5"/>
    <w:rsid w:val="00FC2246"/>
    <w:rsid w:val="00FC2874"/>
    <w:rsid w:val="00FC2E34"/>
    <w:rsid w:val="00FC6C35"/>
    <w:rsid w:val="00FC7823"/>
    <w:rsid w:val="00FD06DF"/>
    <w:rsid w:val="00FD0B4D"/>
    <w:rsid w:val="00FD1447"/>
    <w:rsid w:val="00FD47DC"/>
    <w:rsid w:val="00FD7C4B"/>
    <w:rsid w:val="00FD7DDB"/>
    <w:rsid w:val="00FE316C"/>
    <w:rsid w:val="00FF4459"/>
    <w:rsid w:val="0109927F"/>
    <w:rsid w:val="013D2D76"/>
    <w:rsid w:val="0163F1BF"/>
    <w:rsid w:val="01DE115C"/>
    <w:rsid w:val="0268DA66"/>
    <w:rsid w:val="026FCB22"/>
    <w:rsid w:val="032F0548"/>
    <w:rsid w:val="033BDEEC"/>
    <w:rsid w:val="034017DB"/>
    <w:rsid w:val="03668B75"/>
    <w:rsid w:val="041C10A1"/>
    <w:rsid w:val="044DA4D2"/>
    <w:rsid w:val="04FA6172"/>
    <w:rsid w:val="05792D67"/>
    <w:rsid w:val="05B08C86"/>
    <w:rsid w:val="05E87610"/>
    <w:rsid w:val="05EFA66E"/>
    <w:rsid w:val="0691ACAC"/>
    <w:rsid w:val="0786248C"/>
    <w:rsid w:val="079AA70B"/>
    <w:rsid w:val="08565C82"/>
    <w:rsid w:val="088EBDB4"/>
    <w:rsid w:val="08E1A1E3"/>
    <w:rsid w:val="09005E6F"/>
    <w:rsid w:val="0A4218F3"/>
    <w:rsid w:val="0A866E95"/>
    <w:rsid w:val="0ABD7AC5"/>
    <w:rsid w:val="0B9C042F"/>
    <w:rsid w:val="0BFACFED"/>
    <w:rsid w:val="0C26835F"/>
    <w:rsid w:val="0D49FCEB"/>
    <w:rsid w:val="0DA2D3FF"/>
    <w:rsid w:val="0DAB421A"/>
    <w:rsid w:val="0E0E8450"/>
    <w:rsid w:val="0E26DA2A"/>
    <w:rsid w:val="0E36375E"/>
    <w:rsid w:val="0F0679DE"/>
    <w:rsid w:val="0F7C63E4"/>
    <w:rsid w:val="106E22C0"/>
    <w:rsid w:val="107726F8"/>
    <w:rsid w:val="11DCA60C"/>
    <w:rsid w:val="1263E92D"/>
    <w:rsid w:val="127F11A8"/>
    <w:rsid w:val="13115462"/>
    <w:rsid w:val="134A2AD2"/>
    <w:rsid w:val="13C32761"/>
    <w:rsid w:val="143F058E"/>
    <w:rsid w:val="1476A87E"/>
    <w:rsid w:val="14FB4278"/>
    <w:rsid w:val="1544DCAE"/>
    <w:rsid w:val="1549CAE8"/>
    <w:rsid w:val="15CA7100"/>
    <w:rsid w:val="15D036A2"/>
    <w:rsid w:val="165C8BB1"/>
    <w:rsid w:val="16ABCC3C"/>
    <w:rsid w:val="176E8AC6"/>
    <w:rsid w:val="179E5397"/>
    <w:rsid w:val="17FEB80B"/>
    <w:rsid w:val="1861F3EA"/>
    <w:rsid w:val="18634798"/>
    <w:rsid w:val="188901A3"/>
    <w:rsid w:val="1894746A"/>
    <w:rsid w:val="18A4CD86"/>
    <w:rsid w:val="18F334CB"/>
    <w:rsid w:val="1932EB5E"/>
    <w:rsid w:val="19DE4027"/>
    <w:rsid w:val="1AD1C509"/>
    <w:rsid w:val="1B90127B"/>
    <w:rsid w:val="1B9D00C5"/>
    <w:rsid w:val="1C0A43B3"/>
    <w:rsid w:val="1C56C295"/>
    <w:rsid w:val="1CE64A6F"/>
    <w:rsid w:val="1D1EE235"/>
    <w:rsid w:val="1D41F6C5"/>
    <w:rsid w:val="1D7D6FD2"/>
    <w:rsid w:val="1DC6B300"/>
    <w:rsid w:val="1E50389E"/>
    <w:rsid w:val="1EA82E39"/>
    <w:rsid w:val="1EC07950"/>
    <w:rsid w:val="1FFF9B54"/>
    <w:rsid w:val="20507EEC"/>
    <w:rsid w:val="20553120"/>
    <w:rsid w:val="21F9F74C"/>
    <w:rsid w:val="226E18C5"/>
    <w:rsid w:val="23503F66"/>
    <w:rsid w:val="23B63898"/>
    <w:rsid w:val="23CC75D2"/>
    <w:rsid w:val="240FB218"/>
    <w:rsid w:val="245AF213"/>
    <w:rsid w:val="24ABF519"/>
    <w:rsid w:val="24ADAD67"/>
    <w:rsid w:val="2529AA65"/>
    <w:rsid w:val="255BEF12"/>
    <w:rsid w:val="25E411C8"/>
    <w:rsid w:val="267FB0C6"/>
    <w:rsid w:val="269D33D5"/>
    <w:rsid w:val="270EB3AB"/>
    <w:rsid w:val="271A3599"/>
    <w:rsid w:val="27575846"/>
    <w:rsid w:val="275F9E59"/>
    <w:rsid w:val="2779AA9B"/>
    <w:rsid w:val="291F75F0"/>
    <w:rsid w:val="295D21DB"/>
    <w:rsid w:val="299430A3"/>
    <w:rsid w:val="29BEC501"/>
    <w:rsid w:val="2A4972FA"/>
    <w:rsid w:val="2AA1A645"/>
    <w:rsid w:val="2B3EF3FC"/>
    <w:rsid w:val="2B7896F8"/>
    <w:rsid w:val="2C5EEEC0"/>
    <w:rsid w:val="2C7DFA4E"/>
    <w:rsid w:val="2C7F9817"/>
    <w:rsid w:val="2CA950FE"/>
    <w:rsid w:val="2CE9DE85"/>
    <w:rsid w:val="2D619D21"/>
    <w:rsid w:val="2DE9C72D"/>
    <w:rsid w:val="2E16FBEB"/>
    <w:rsid w:val="2E262BD9"/>
    <w:rsid w:val="2E29E995"/>
    <w:rsid w:val="2E2D523E"/>
    <w:rsid w:val="2E617A5E"/>
    <w:rsid w:val="2E6DF43E"/>
    <w:rsid w:val="2E7D3808"/>
    <w:rsid w:val="2E9979FB"/>
    <w:rsid w:val="2E9C4E40"/>
    <w:rsid w:val="2F2A3AA7"/>
    <w:rsid w:val="2F77F575"/>
    <w:rsid w:val="2F80879F"/>
    <w:rsid w:val="2F89778E"/>
    <w:rsid w:val="2FCC5B9D"/>
    <w:rsid w:val="30017062"/>
    <w:rsid w:val="300FC809"/>
    <w:rsid w:val="3038A21C"/>
    <w:rsid w:val="3085A810"/>
    <w:rsid w:val="3377FF82"/>
    <w:rsid w:val="34D8383A"/>
    <w:rsid w:val="34F697CE"/>
    <w:rsid w:val="3515A8E5"/>
    <w:rsid w:val="352B0898"/>
    <w:rsid w:val="35328C8A"/>
    <w:rsid w:val="354C1881"/>
    <w:rsid w:val="3553DB11"/>
    <w:rsid w:val="3564D8D0"/>
    <w:rsid w:val="358D0E27"/>
    <w:rsid w:val="35A42972"/>
    <w:rsid w:val="35DF5C25"/>
    <w:rsid w:val="35E302D1"/>
    <w:rsid w:val="36E2AC23"/>
    <w:rsid w:val="36E7C0F7"/>
    <w:rsid w:val="371F1E2A"/>
    <w:rsid w:val="3764350C"/>
    <w:rsid w:val="377CF6A2"/>
    <w:rsid w:val="37BA69EA"/>
    <w:rsid w:val="37D81E97"/>
    <w:rsid w:val="3880C17F"/>
    <w:rsid w:val="38DD0C6E"/>
    <w:rsid w:val="391CD9CB"/>
    <w:rsid w:val="39563A4B"/>
    <w:rsid w:val="3979584F"/>
    <w:rsid w:val="39DE04C8"/>
    <w:rsid w:val="39FA986E"/>
    <w:rsid w:val="3ABB247C"/>
    <w:rsid w:val="3AD5FEF1"/>
    <w:rsid w:val="3AF20AAC"/>
    <w:rsid w:val="3B12CFAD"/>
    <w:rsid w:val="3B2F8815"/>
    <w:rsid w:val="3B3DDBC8"/>
    <w:rsid w:val="3B7E2E31"/>
    <w:rsid w:val="3CD05215"/>
    <w:rsid w:val="3D00024F"/>
    <w:rsid w:val="3D227885"/>
    <w:rsid w:val="3D268FE3"/>
    <w:rsid w:val="3D44D6D4"/>
    <w:rsid w:val="3D792DCA"/>
    <w:rsid w:val="3E5767AC"/>
    <w:rsid w:val="3E6C2276"/>
    <w:rsid w:val="3E962B13"/>
    <w:rsid w:val="3E9BD2B0"/>
    <w:rsid w:val="3F3EBA37"/>
    <w:rsid w:val="3FAB027B"/>
    <w:rsid w:val="406242B3"/>
    <w:rsid w:val="406EEA2F"/>
    <w:rsid w:val="40F4A052"/>
    <w:rsid w:val="41123DA7"/>
    <w:rsid w:val="4124F209"/>
    <w:rsid w:val="412A39E9"/>
    <w:rsid w:val="41972D62"/>
    <w:rsid w:val="422A337B"/>
    <w:rsid w:val="42D13F39"/>
    <w:rsid w:val="433F9399"/>
    <w:rsid w:val="43CA595B"/>
    <w:rsid w:val="43E45512"/>
    <w:rsid w:val="4427BF12"/>
    <w:rsid w:val="447B5A7A"/>
    <w:rsid w:val="453A83C0"/>
    <w:rsid w:val="45528250"/>
    <w:rsid w:val="46A6E495"/>
    <w:rsid w:val="46A82F1C"/>
    <w:rsid w:val="46B82293"/>
    <w:rsid w:val="46D8FBB8"/>
    <w:rsid w:val="47BA105A"/>
    <w:rsid w:val="48E5B209"/>
    <w:rsid w:val="4900CBC0"/>
    <w:rsid w:val="491D4F8C"/>
    <w:rsid w:val="494CCD6F"/>
    <w:rsid w:val="49A40144"/>
    <w:rsid w:val="4AB91FED"/>
    <w:rsid w:val="4B26A62C"/>
    <w:rsid w:val="4B7183EA"/>
    <w:rsid w:val="4C82D1B4"/>
    <w:rsid w:val="4C899E25"/>
    <w:rsid w:val="4CCFE63C"/>
    <w:rsid w:val="4D0DF6A2"/>
    <w:rsid w:val="4F09D076"/>
    <w:rsid w:val="4F8C9110"/>
    <w:rsid w:val="4F9C64A6"/>
    <w:rsid w:val="4FC7B3B7"/>
    <w:rsid w:val="4FE70BB3"/>
    <w:rsid w:val="500D21D5"/>
    <w:rsid w:val="500DC6BA"/>
    <w:rsid w:val="5012503A"/>
    <w:rsid w:val="5076DC87"/>
    <w:rsid w:val="509646C0"/>
    <w:rsid w:val="50AC746A"/>
    <w:rsid w:val="50F095AC"/>
    <w:rsid w:val="50F26ABA"/>
    <w:rsid w:val="5228B445"/>
    <w:rsid w:val="52321721"/>
    <w:rsid w:val="524C637B"/>
    <w:rsid w:val="524F36F6"/>
    <w:rsid w:val="52DD5A2F"/>
    <w:rsid w:val="53846E56"/>
    <w:rsid w:val="549DABF8"/>
    <w:rsid w:val="5596A681"/>
    <w:rsid w:val="55EAC3D7"/>
    <w:rsid w:val="55ED30A8"/>
    <w:rsid w:val="55F9A5E8"/>
    <w:rsid w:val="5639AA63"/>
    <w:rsid w:val="56AD096E"/>
    <w:rsid w:val="56FFFDDB"/>
    <w:rsid w:val="571FB7AC"/>
    <w:rsid w:val="572DBA62"/>
    <w:rsid w:val="5769F037"/>
    <w:rsid w:val="5903C31C"/>
    <w:rsid w:val="59300BD5"/>
    <w:rsid w:val="5A69EAEF"/>
    <w:rsid w:val="5A6D77FF"/>
    <w:rsid w:val="5A9F937D"/>
    <w:rsid w:val="5AA852DE"/>
    <w:rsid w:val="5B1FDD9D"/>
    <w:rsid w:val="5B7E1CB1"/>
    <w:rsid w:val="5BA9DE4D"/>
    <w:rsid w:val="5BDC92DF"/>
    <w:rsid w:val="5C1E5B8C"/>
    <w:rsid w:val="5C2FCD32"/>
    <w:rsid w:val="5C36BDE0"/>
    <w:rsid w:val="5C39506A"/>
    <w:rsid w:val="5C515A3B"/>
    <w:rsid w:val="5CED8D3B"/>
    <w:rsid w:val="5D46AA65"/>
    <w:rsid w:val="5EFAA76C"/>
    <w:rsid w:val="5F1433A1"/>
    <w:rsid w:val="5F24BAB9"/>
    <w:rsid w:val="5F4EDD0F"/>
    <w:rsid w:val="5F685E02"/>
    <w:rsid w:val="5F8CCF68"/>
    <w:rsid w:val="5FD51AC4"/>
    <w:rsid w:val="5FE2039A"/>
    <w:rsid w:val="6000B56E"/>
    <w:rsid w:val="61B99458"/>
    <w:rsid w:val="61BD4D52"/>
    <w:rsid w:val="61C88D32"/>
    <w:rsid w:val="61E0BCC1"/>
    <w:rsid w:val="623F3362"/>
    <w:rsid w:val="62A75F8E"/>
    <w:rsid w:val="638F856A"/>
    <w:rsid w:val="64CAD8EC"/>
    <w:rsid w:val="64CB75EC"/>
    <w:rsid w:val="65421906"/>
    <w:rsid w:val="654DA38D"/>
    <w:rsid w:val="65C0A7CE"/>
    <w:rsid w:val="65C0A8F9"/>
    <w:rsid w:val="65C5383E"/>
    <w:rsid w:val="66D31074"/>
    <w:rsid w:val="66E78D61"/>
    <w:rsid w:val="66FC7180"/>
    <w:rsid w:val="677A416D"/>
    <w:rsid w:val="67CAE15B"/>
    <w:rsid w:val="67D139BF"/>
    <w:rsid w:val="67E89F99"/>
    <w:rsid w:val="69529B2C"/>
    <w:rsid w:val="69556A98"/>
    <w:rsid w:val="69A30E79"/>
    <w:rsid w:val="69AE5927"/>
    <w:rsid w:val="6A3C214B"/>
    <w:rsid w:val="6A8CC3DE"/>
    <w:rsid w:val="6AE95D15"/>
    <w:rsid w:val="6B15DC9B"/>
    <w:rsid w:val="6BC00217"/>
    <w:rsid w:val="6BE017F6"/>
    <w:rsid w:val="6C225ADB"/>
    <w:rsid w:val="6C3E3E68"/>
    <w:rsid w:val="6D3446BD"/>
    <w:rsid w:val="6D661DC9"/>
    <w:rsid w:val="6D95C333"/>
    <w:rsid w:val="6DB1753E"/>
    <w:rsid w:val="6E623804"/>
    <w:rsid w:val="6EDAA7D9"/>
    <w:rsid w:val="6F04A424"/>
    <w:rsid w:val="6F9BC845"/>
    <w:rsid w:val="6FCFB017"/>
    <w:rsid w:val="7025DA1E"/>
    <w:rsid w:val="706C7DCE"/>
    <w:rsid w:val="70E890B1"/>
    <w:rsid w:val="714E861A"/>
    <w:rsid w:val="71AA20A1"/>
    <w:rsid w:val="71AB107B"/>
    <w:rsid w:val="71B35694"/>
    <w:rsid w:val="71F59AE4"/>
    <w:rsid w:val="720DB63F"/>
    <w:rsid w:val="73E91B8B"/>
    <w:rsid w:val="74047D93"/>
    <w:rsid w:val="7414693F"/>
    <w:rsid w:val="745E13F0"/>
    <w:rsid w:val="750518A5"/>
    <w:rsid w:val="7568BF85"/>
    <w:rsid w:val="76361F56"/>
    <w:rsid w:val="7649BF27"/>
    <w:rsid w:val="7684BA9D"/>
    <w:rsid w:val="769BEF49"/>
    <w:rsid w:val="76A7334F"/>
    <w:rsid w:val="76B4AB2D"/>
    <w:rsid w:val="76B9F042"/>
    <w:rsid w:val="76E9DD51"/>
    <w:rsid w:val="774CB519"/>
    <w:rsid w:val="77586DE0"/>
    <w:rsid w:val="77EA33C0"/>
    <w:rsid w:val="77F0145D"/>
    <w:rsid w:val="77F08781"/>
    <w:rsid w:val="788D4A48"/>
    <w:rsid w:val="794E8013"/>
    <w:rsid w:val="79D2030E"/>
    <w:rsid w:val="7A1BEBAC"/>
    <w:rsid w:val="7A536137"/>
    <w:rsid w:val="7A6F381E"/>
    <w:rsid w:val="7AB26840"/>
    <w:rsid w:val="7AB4A0F3"/>
    <w:rsid w:val="7AEA5074"/>
    <w:rsid w:val="7AFB4A28"/>
    <w:rsid w:val="7B582BC0"/>
    <w:rsid w:val="7B6103C7"/>
    <w:rsid w:val="7BE2A54D"/>
    <w:rsid w:val="7C2B75D0"/>
    <w:rsid w:val="7C8620D5"/>
    <w:rsid w:val="7DCE196B"/>
    <w:rsid w:val="7E12EBE8"/>
    <w:rsid w:val="7E233BBD"/>
    <w:rsid w:val="7F3139A3"/>
    <w:rsid w:val="7F327007"/>
    <w:rsid w:val="7F5E4E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7E"/>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F85662"/>
    <w:p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ody Char,Bullet + line Char,b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2"/>
      </w:numPr>
    </w:pPr>
  </w:style>
  <w:style w:type="numbering" w:customStyle="1" w:styleId="StyleBulletedSymbolsymbol11ptLeft4cmHanging051">
    <w:name w:val="Style Bulleted Symbol (symbol) 11 pt Left:  4 cm Hanging:  0.5 ...1"/>
    <w:basedOn w:val="NoList"/>
    <w:rsid w:val="008F0B15"/>
    <w:pPr>
      <w:numPr>
        <w:numId w:val="3"/>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6"/>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6"/>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6"/>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7"/>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8"/>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3715C7"/>
    <w:pPr>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3715C7"/>
    <w:pPr>
      <w:spacing w:before="0" w:after="100" w:line="276" w:lineRule="auto"/>
      <w:ind w:left="22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 w:type="character" w:styleId="Mention">
    <w:name w:val="Mention"/>
    <w:basedOn w:val="DefaultParagraphFont"/>
    <w:uiPriority w:val="99"/>
    <w:unhideWhenUsed/>
    <w:rsid w:val="00417E7D"/>
    <w:rPr>
      <w:color w:val="2B579A"/>
      <w:shd w:val="clear" w:color="auto" w:fill="E1DFDD"/>
    </w:rPr>
  </w:style>
  <w:style w:type="character" w:customStyle="1" w:styleId="cf01">
    <w:name w:val="cf01"/>
    <w:basedOn w:val="DefaultParagraphFont"/>
    <w:rsid w:val="004519E0"/>
    <w:rPr>
      <w:rFonts w:ascii="Segoe UI" w:hAnsi="Segoe UI" w:cs="Segoe UI" w:hint="default"/>
      <w:sz w:val="18"/>
      <w:szCs w:val="18"/>
    </w:rPr>
  </w:style>
  <w:style w:type="paragraph" w:customStyle="1" w:styleId="pf1">
    <w:name w:val="pf1"/>
    <w:basedOn w:val="Normal"/>
    <w:rsid w:val="00723332"/>
    <w:pPr>
      <w:spacing w:before="100" w:beforeAutospacing="1" w:after="100" w:afterAutospacing="1"/>
    </w:pPr>
    <w:rPr>
      <w:rFonts w:ascii="Times New Roman" w:hAnsi="Times New Roman"/>
      <w:sz w:val="24"/>
      <w:szCs w:val="24"/>
    </w:rPr>
  </w:style>
  <w:style w:type="paragraph" w:customStyle="1" w:styleId="pf0">
    <w:name w:val="pf0"/>
    <w:basedOn w:val="Normal"/>
    <w:rsid w:val="0072333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24687511">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0212796">
      <w:bodyDiv w:val="1"/>
      <w:marLeft w:val="0"/>
      <w:marRight w:val="0"/>
      <w:marTop w:val="0"/>
      <w:marBottom w:val="0"/>
      <w:divBdr>
        <w:top w:val="none" w:sz="0" w:space="0" w:color="auto"/>
        <w:left w:val="none" w:sz="0" w:space="0" w:color="auto"/>
        <w:bottom w:val="none" w:sz="0" w:space="0" w:color="auto"/>
        <w:right w:val="none" w:sz="0" w:space="0" w:color="auto"/>
      </w:divBdr>
    </w:div>
    <w:div w:id="1279988046">
      <w:bodyDiv w:val="1"/>
      <w:marLeft w:val="0"/>
      <w:marRight w:val="0"/>
      <w:marTop w:val="0"/>
      <w:marBottom w:val="0"/>
      <w:divBdr>
        <w:top w:val="none" w:sz="0" w:space="0" w:color="auto"/>
        <w:left w:val="none" w:sz="0" w:space="0" w:color="auto"/>
        <w:bottom w:val="none" w:sz="0" w:space="0" w:color="auto"/>
        <w:right w:val="none" w:sz="0" w:space="0" w:color="auto"/>
      </w:divBdr>
    </w:div>
    <w:div w:id="139704749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66028100">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2688</Words>
  <Characters>14534</Characters>
  <Application>Microsoft Office Word</Application>
  <DocSecurity>0</DocSecurity>
  <Lines>288</Lines>
  <Paragraphs>146</Paragraphs>
  <ScaleCrop>false</ScaleCrop>
  <HeadingPairs>
    <vt:vector size="2" baseType="variant">
      <vt:variant>
        <vt:lpstr>Title</vt:lpstr>
      </vt:variant>
      <vt:variant>
        <vt:i4>1</vt:i4>
      </vt:variant>
    </vt:vector>
  </HeadingPairs>
  <TitlesOfParts>
    <vt:vector size="1" baseType="lpstr">
      <vt:lpstr>Foreign Investment Application Checklist: Appendix – Tax Checklist</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Investment Application Checklist: Appendix – Tax Checklist</dc:title>
  <dc:subject/>
  <dc:creator>Treasury</dc:creator>
  <cp:keywords/>
  <dc:description/>
  <cp:lastModifiedBy/>
  <cp:revision>1</cp:revision>
  <dcterms:created xsi:type="dcterms:W3CDTF">2025-03-12T22:46:00Z</dcterms:created>
  <dcterms:modified xsi:type="dcterms:W3CDTF">2025-03-12T22:47:00Z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2025-03-12T22:47:39Z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a14193f0-7a7a-4093-83bd-f8ff7fbd1a32</vt:lpwstr>
  </property>
  <property fmtid="{D5CDD505-2E9C-101B-9397-08002B2CF9AE}" pid="8" name="MSIP_Label_4f932d64-9ab1-4d9b-81d2-a3a8b82dd47d_ContentBits">
    <vt:lpwstr>0</vt:lpwstr>
  </property>
</Properties>
</file>